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1906"/>
        <w:tblBorders>
          <w:top w:val="single" w:color="auto" w:sz="4"/>
          <w:left w:val="single" w:color="auto" w:sz="4"/>
          <w:bottom w:val="single" w:color="auto" w:sz="4"/>
          <w:right w:val="single" w:color="auto" w:sz="4"/>
          <w:insideH w:val="single" w:color="auto" w:sz="4"/>
          <w:insideV w:val="single" w:color="auto" w:sz="4"/>
        </w:tblBorders>
      </w:tblPr>
      <w:tblGrid>
        <w:gridCol w:w="11906"/>
      </w:tblGrid>
      <w:tr>
        <w:trPr>
          <w:trHeight w:val="16838" w:hRule="atLeast"/>
        </w:trPr>
        <w:tc>
          <w:tcPr>
            <w:tcW w:type="dxa" w:w="11906"/>
            <w:tcBorders>
              <w:top w:val="none" w:color="FFFFFF" w:sz="0"/>
              <w:left w:val="none" w:color="FFFFFF" w:sz="0"/>
              <w:bottom w:val="none" w:color="FFFFFF" w:sz="0"/>
              <w:right w:val="none" w:color="FFFFFF" w:sz="0"/>
            </w:tcBorders>
            <w:shd w:fill="0B1F45" w:color="auto" w:val="clear"/>
            <w:tcMar>
              <w:top w:type="dxa" w:w="1800"/>
              <w:left w:type="dxa" w:w="1000"/>
              <w:bottom w:type="dxa" w:w="1800"/>
              <w:right w:type="dxa" w:w="1000"/>
            </w:tcMar>
            <w:vAlign w:val="center"/>
          </w:tcPr>
          <w:p>
            <w:pPr>
              <w:spacing w:after="500"/>
              <w:jc w:val="left"/>
            </w:pPr>
            <w:r>
              <w:drawing>
                <wp:inline distT="0" distB="0" distL="0" distR="0">
                  <wp:extent cx="3409950" cy="7429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3409950" cy="742950"/>
                          </a:xfrm>
                          <a:prstGeom prst="rect">
                            <a:avLst/>
                          </a:prstGeom>
                        </pic:spPr>
                      </pic:pic>
                    </a:graphicData>
                  </a:graphic>
                </wp:inline>
              </w:drawing>
            </w:r>
          </w:p>
          <w:p>
            <w:pPr>
              <w:spacing w:after="100"/>
            </w:pPr>
            <w:r>
              <w:rPr>
                <w:rFonts w:ascii="Calibri" w:cs="Calibri" w:eastAsia="Calibri" w:hAnsi="Calibri"/>
                <w:b/>
                <w:bCs/>
                <w:color w:val="FFFFFF"/>
                <w:spacing w:val="8"/>
                <w:sz w:val="24"/>
                <w:szCs w:val="24"/>
              </w:rPr>
              <w:t xml:space="preserve">CLINICAL TRIAL START-UP TOOLKIT — FILLED-IN EXAMPLE SET</w:t>
            </w:r>
          </w:p>
          <w:p>
            <w:pPr>
              <w:spacing w:after="40"/>
            </w:pPr>
            <w:r>
              <w:rPr>
                <w:rFonts w:ascii="Calibri" w:cs="Calibri" w:eastAsia="Calibri" w:hAnsi="Calibri"/>
                <w:b/>
                <w:bCs/>
                <w:color w:val="FFFFFF"/>
                <w:sz w:val="54"/>
                <w:szCs w:val="54"/>
              </w:rPr>
              <w:t xml:space="preserve">Weekly Status Report</w:t>
            </w:r>
          </w:p>
          <w:p>
            <w:pPr>
              <w:spacing w:after="40"/>
            </w:pPr>
            <w:r>
              <w:rPr>
                <w:rFonts w:ascii="Calibri" w:cs="Calibri" w:eastAsia="Calibri" w:hAnsi="Calibri"/>
                <w:b/>
                <w:bCs/>
                <w:i/>
                <w:iCs/>
                <w:color w:val="F3B5A6"/>
                <w:sz w:val="24"/>
                <w:szCs w:val="24"/>
              </w:rPr>
              <w:t xml:space="preserve">— Completed Example: Week of 26–30 January 2027 —</w:t>
            </w:r>
          </w:p>
          <w:p>
            <w:pPr>
              <w:spacing w:after="700"/>
            </w:pPr>
            <w:r>
              <w:rPr>
                <w:rFonts w:ascii="Calibri" w:cs="Calibri" w:eastAsia="Calibri" w:hAnsi="Calibri"/>
                <w:i/>
                <w:iCs/>
                <w:color w:val="C7CEE3"/>
                <w:sz w:val="22"/>
                <w:szCs w:val="22"/>
              </w:rPr>
              <w:t xml:space="preserve">Component 12 of 12 — Worked Example: Protocol ORACLE-2, 4.5 months into enrollment</w:t>
            </w:r>
          </w:p>
          <w:p>
            <w:pPr>
              <w:pBdr>
                <w:top w:val="single" w:color="E8543A" w:sz="6" w:space="8"/>
              </w:pBdr>
              <w:spacing w:after="100"/>
            </w:pPr>
            <w:r>
              <w:rPr>
                <w:sz w:val="2"/>
                <w:szCs w:val="2"/>
              </w:rPr>
              <w:t xml:space="preserve"/>
            </w:r>
          </w:p>
          <w:p>
            <w:pPr>
              <w:spacing w:after="40" w:before="200"/>
            </w:pPr>
            <w:r>
              <w:rPr>
                <w:rFonts w:ascii="Calibri" w:cs="Calibri" w:eastAsia="Calibri" w:hAnsi="Calibri"/>
                <w:b/>
                <w:bCs/>
                <w:color w:val="FFFFFF"/>
                <w:sz w:val="20"/>
                <w:szCs w:val="20"/>
              </w:rPr>
              <w:t xml:space="preserve">Sample Document — Prepared for Internal Review</w:t>
            </w:r>
          </w:p>
          <w:p>
            <w:pPr>
              <w:spacing w:after="20"/>
            </w:pPr>
            <w:r>
              <w:rPr>
                <w:rFonts w:ascii="Calibri" w:cs="Calibri" w:eastAsia="Calibri" w:hAnsi="Calibri"/>
                <w:color w:val="9AA4C2"/>
                <w:sz w:val="18"/>
                <w:szCs w:val="18"/>
              </w:rPr>
              <w:t xml:space="preserve">Fictional case study — all names, sites, and data are illustrative, not real</w:t>
            </w:r>
          </w:p>
          <w:p>
            <w:pPr>
              <w:spacing w:after="20"/>
            </w:pPr>
            <w:r>
              <w:rPr>
                <w:rFonts w:ascii="Calibri" w:cs="Calibri" w:eastAsia="Calibri" w:hAnsi="Calibri"/>
                <w:color w:val="9AA4C2"/>
                <w:sz w:val="18"/>
                <w:szCs w:val="18"/>
              </w:rPr>
              <w:t xml:space="preserve">Version 1.0 — 3 August 2026</w:t>
            </w:r>
          </w:p>
          <w:p>
            <w:r>
              <w:rPr>
                <w:rFonts w:ascii="Calibri" w:cs="Calibri" w:eastAsia="Calibri" w:hAnsi="Calibri"/>
                <w:color w:val="9AA4C2"/>
                <w:sz w:val="18"/>
                <w:szCs w:val="18"/>
              </w:rPr>
              <w:t xml:space="preserve">expertclinicaltrials.com</w:t>
            </w:r>
          </w:p>
        </w:tc>
      </w:tr>
    </w:tbl>
    <w:p>
      <w:pPr>
        <w:sectPr>
          <w:headerReference w:type="default" r:id="rId7"/>
          <w:footerReference w:type="default" r:id="rId8"/>
          <w:pgSz w:w="11906" w:h="16838" w:orient="portrait"/>
          <w:pgMar w:top="0" w:right="0" w:bottom="0" w:left="0" w:header="0" w:footer="0" w:gutter="0"/>
          <w:pgNumType/>
          <w:docGrid w:linePitch="360"/>
        </w:sectPr>
      </w:pPr>
    </w:p>
    <w:p>
      <w:pPr>
        <w:pStyle w:val="Heading1"/>
        <w:pBdr>
          <w:bottom w:val="single" w:color="E8543A" w:sz="12" w:space="4"/>
        </w:pBdr>
        <w:spacing w:after="160" w:before="320"/>
      </w:pPr>
      <w:r>
        <w:rPr>
          <w:rFonts w:ascii="Calibri" w:cs="Calibri" w:eastAsia="Calibri" w:hAnsi="Calibri"/>
          <w:b/>
          <w:bCs/>
          <w:color w:val="0B1F45"/>
          <w:sz w:val="30"/>
          <w:szCs w:val="30"/>
        </w:rPr>
        <w:t xml:space="preserve">About This Worked Example</w:t>
      </w:r>
    </w:p>
    <w:p>
      <w:pPr>
        <w:spacing w:after="200" w:before="0"/>
      </w:pPr>
      <w:r>
        <w:rPr>
          <w:rFonts w:ascii="Calibri" w:cs="Calibri" w:eastAsia="Calibri" w:hAnsi="Calibri"/>
          <w:color w:val="3A3A3A"/>
          <w:sz w:val="21"/>
          <w:szCs w:val="21"/>
        </w:rPr>
        <w:t xml:space="preserve">This is the Weekly Status Report (Toolkit Component 11) completed for the reporting period 26–30 January 2027 — roughly Month 4 of ORACLE-2's planned 10-month enrollment period, and about 4.5 months after First Patient In (15 September 2026). It uses a later date than the other 10 completed documents in this example set, deliberately, so the enrollment and risk sections have real progress to show. See the completed Recruitment Feasibility Template for the same snapshot.</w:t>
      </w:r>
    </w:p>
    <w:p>
      <w:r>
        <w:br w:type="page"/>
      </w:r>
    </w:p>
    <w:p>
      <w:pPr>
        <w:pStyle w:val="Heading1"/>
        <w:pBdr>
          <w:bottom w:val="single" w:color="E8543A" w:sz="12" w:space="4"/>
        </w:pBdr>
        <w:spacing w:after="160" w:before="320"/>
      </w:pPr>
      <w:r>
        <w:rPr>
          <w:rFonts w:ascii="Calibri" w:cs="Calibri" w:eastAsia="Calibri" w:hAnsi="Calibri"/>
          <w:b/>
          <w:bCs/>
          <w:color w:val="0B1F45"/>
          <w:sz w:val="30"/>
          <w:szCs w:val="30"/>
        </w:rPr>
        <w:t xml:space="preserve">Weekly Status Report</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400"/>
        <w:gridCol w:w="5400"/>
      </w:tblGrid>
      <w:tr>
        <w:trPr>
          <w:tblHeader/>
        </w:trPr>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Response</w:t>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Protocol number / Study title</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ORACLE-2 — Phase II Study of [Investigational Agent] vs. SoC in 2nd-Line Advanced NSCLC</w:t>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Sponsor / CRO</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Solara Oncology Therapeutics, S.A. / Meridian Clinical Solutions (full-service, ES/PL)</w:t>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Reporting period (week of)</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26–30 January 2027</w:t>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Report prepared by (name, role)</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Carlos Fernández Mora, Project Manager</w:t>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Distribution list</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Sponsor Clinical Operations, Regulatory Affairs, Biostatistics, Data Management, CRA Team</w:t>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Overall Project Status</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Amber — driven by recruitment; all other work streams Green</w:t>
            </w:r>
          </w:p>
        </w:tc>
      </w:tr>
    </w:tbl>
    <w:p>
      <w:pPr>
        <w:spacing w:after="240" w:before="0"/>
      </w:pPr>
      <w:r>
        <w:rPr>
          <w:rFonts w:ascii="Calibri" w:cs="Calibri" w:eastAsia="Calibri" w:hAnsi="Calibri"/>
          <w:color w:val="3A3A3A"/>
          <w:sz w:val="21"/>
          <w:szCs w:val="21"/>
        </w:rPr>
        <w:t xml:space="preserve"/>
      </w:r>
    </w:p>
    <w:p>
      <w:pPr>
        <w:pStyle w:val="Heading2"/>
        <w:spacing w:after="60" w:before="300"/>
      </w:pPr>
      <w:r>
        <w:rPr>
          <w:rFonts w:ascii="Calibri" w:cs="Calibri" w:eastAsia="Calibri" w:hAnsi="Calibri"/>
          <w:b/>
          <w:bCs/>
          <w:color w:val="0B1F45"/>
          <w:sz w:val="24"/>
          <w:szCs w:val="24"/>
        </w:rPr>
        <w:t xml:space="preserve">Section A: Executive Summary</w:t>
      </w:r>
    </w:p>
    <w:p>
      <w:pPr>
        <w:pStyle w:val="ListParagraph"/>
        <w:numPr>
          <w:ilvl w:val="0"/>
          <w:numId w:val="1"/>
        </w:numPr>
        <w:spacing w:after="90"/>
      </w:pPr>
      <w:r>
        <w:rPr>
          <w:rFonts w:ascii="Calibri" w:cs="Calibri" w:eastAsia="Calibri" w:hAnsi="Calibri"/>
          <w:color w:val="0B1F45"/>
          <w:sz w:val="20"/>
          <w:szCs w:val="20"/>
        </w:rPr>
        <w:t xml:space="preserve">55 of 140 subjects enrolled (39%) at Month 4 of the planned 10-month enrollment period; trajectory improving after a slow start — the gap vs. plan narrowed to -1 subject this month.</w:t>
      </w:r>
    </w:p>
    <w:p>
      <w:pPr>
        <w:pStyle w:val="ListParagraph"/>
        <w:numPr>
          <w:ilvl w:val="0"/>
          <w:numId w:val="1"/>
        </w:numPr>
        <w:spacing w:after="90"/>
      </w:pPr>
      <w:r>
        <w:rPr>
          <w:rFonts w:ascii="Calibri" w:cs="Calibri" w:eastAsia="Calibri" w:hAnsi="Calibri"/>
          <w:color w:val="0B1F45"/>
          <w:sz w:val="20"/>
          <w:szCs w:val="20"/>
        </w:rPr>
        <w:t xml:space="preserve">All 8 sites activated and enrolling; no new site activations planned this period.</w:t>
      </w:r>
    </w:p>
    <w:p>
      <w:pPr>
        <w:pStyle w:val="ListParagraph"/>
        <w:numPr>
          <w:ilvl w:val="0"/>
          <w:numId w:val="1"/>
        </w:numPr>
        <w:spacing w:after="90"/>
      </w:pPr>
      <w:r>
        <w:rPr>
          <w:rFonts w:ascii="Calibri" w:cs="Calibri" w:eastAsia="Calibri" w:hAnsi="Calibri"/>
          <w:color w:val="0B1F45"/>
          <w:sz w:val="20"/>
          <w:szCs w:val="20"/>
        </w:rPr>
        <w:t xml:space="preserve">DE-02 (Munich) remains the primary recruitment risk after a competing trial (NCT-EXT-3391) opened in the same indication in September 2026 — logged as Risk R-07. A backup German site is under evaluation; decision due 15 February 2027.</w:t>
      </w:r>
    </w:p>
    <w:p>
      <w:pPr>
        <w:pStyle w:val="ListParagraph"/>
        <w:numPr>
          <w:ilvl w:val="0"/>
          <w:numId w:val="1"/>
        </w:numPr>
        <w:spacing w:after="90"/>
      </w:pPr>
      <w:r>
        <w:rPr>
          <w:rFonts w:ascii="Calibri" w:cs="Calibri" w:eastAsia="Calibri" w:hAnsi="Calibri"/>
          <w:color w:val="0B1F45"/>
          <w:sz w:val="20"/>
          <w:szCs w:val="20"/>
        </w:rPr>
        <w:t xml:space="preserve">No new regulatory, contract, or vendor issues this reporting period.</w:t>
      </w:r>
    </w:p>
    <w:p>
      <w:pPr>
        <w:spacing w:after="160" w:before="0"/>
      </w:pPr>
      <w:r>
        <w:rPr>
          <w:rFonts w:ascii="Calibri" w:cs="Calibri" w:eastAsia="Calibri" w:hAnsi="Calibri"/>
          <w:color w:val="3A3A3A"/>
          <w:sz w:val="21"/>
          <w:szCs w:val="21"/>
        </w:rPr>
        <w:t xml:space="preserve"/>
      </w:r>
    </w:p>
    <w:p>
      <w:pPr>
        <w:pStyle w:val="Heading2"/>
        <w:spacing w:after="60" w:before="300"/>
      </w:pPr>
      <w:r>
        <w:rPr>
          <w:rFonts w:ascii="Calibri" w:cs="Calibri" w:eastAsia="Calibri" w:hAnsi="Calibri"/>
          <w:b/>
          <w:bCs/>
          <w:color w:val="0B1F45"/>
          <w:sz w:val="24"/>
          <w:szCs w:val="24"/>
        </w:rPr>
        <w:t xml:space="preserve">Section B: RAG Status by Work Stream</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3200"/>
        <w:gridCol w:w="1300"/>
        <w:gridCol w:w="1300"/>
        <w:gridCol w:w="1300"/>
        <w:gridCol w:w="3700"/>
      </w:tblGrid>
      <w:tr>
        <w:trPr>
          <w:tblHeader/>
        </w:trPr>
        <w:tc>
          <w:tcPr>
            <w:tcW w:type="dxa" w:w="3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Work Stream</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Last Week</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This Week</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Trend</w:t>
            </w:r>
          </w:p>
        </w:tc>
        <w:tc>
          <w:tcPr>
            <w:tcW w:type="dxa" w:w="37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Comments</w:t>
            </w:r>
          </w:p>
        </w:tc>
      </w:tr>
      <w:tr>
        <w:tc>
          <w:tcPr>
            <w:tcW w:type="dxa" w:w="3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Regulatory &amp; Ethics Approvals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8"/>
                <w:szCs w:val="18"/>
              </w:rPr>
              <w:t xml:space="preserve">→</w:t>
            </w:r>
          </w:p>
        </w:tc>
        <w:tc>
          <w:tcPr>
            <w:tcW w:type="dxa" w:w="3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No open queries</w:t>
            </w:r>
          </w:p>
        </w:tc>
      </w:tr>
      <w:tr>
        <w:tc>
          <w:tcPr>
            <w:tcW w:type="dxa" w:w="3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Contracts &amp; Budget</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8"/>
                <w:szCs w:val="18"/>
              </w:rPr>
              <w:t xml:space="preserve">→</w:t>
            </w:r>
          </w:p>
        </w:tc>
        <w:tc>
          <w:tcPr>
            <w:tcW w:type="dxa" w:w="3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No change</w:t>
            </w:r>
          </w:p>
        </w:tc>
      </w:tr>
      <w:tr>
        <w:tc>
          <w:tcPr>
            <w:tcW w:type="dxa" w:w="3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Site Activation</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8"/>
                <w:szCs w:val="18"/>
              </w:rPr>
              <w:t xml:space="preserve">→</w:t>
            </w:r>
          </w:p>
        </w:tc>
        <w:tc>
          <w:tcPr>
            <w:tcW w:type="dxa" w:w="3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All 8 sites active since Sep 2026</w:t>
            </w:r>
          </w:p>
        </w:tc>
      </w:tr>
      <w:tr>
        <w:tc>
          <w:tcPr>
            <w:tcW w:type="dxa" w:w="3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Recruitment &amp; Enrollment</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B8860B"/>
                <w:sz w:val="17"/>
                <w:szCs w:val="17"/>
              </w:rPr>
              <w:t xml:space="preserve">Amber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B8860B"/>
                <w:sz w:val="17"/>
                <w:szCs w:val="17"/>
              </w:rPr>
              <w:t xml:space="preserve">Amber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8"/>
                <w:szCs w:val="18"/>
              </w:rPr>
              <w:t xml:space="preserve">↗</w:t>
            </w:r>
          </w:p>
        </w:tc>
        <w:tc>
          <w:tcPr>
            <w:tcW w:type="dxa" w:w="3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Gap narrowing; DE-02 remains at risk (R-07)</w:t>
            </w:r>
          </w:p>
        </w:tc>
      </w:tr>
      <w:tr>
        <w:tc>
          <w:tcPr>
            <w:tcW w:type="dxa" w:w="3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Vendors &amp; Third Parties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8"/>
                <w:szCs w:val="18"/>
              </w:rPr>
              <w:t xml:space="preserve">→</w:t>
            </w:r>
          </w:p>
        </w:tc>
        <w:tc>
          <w:tcPr>
            <w:tcW w:type="dxa" w:w="3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All 8 vendors Ready</w:t>
            </w:r>
          </w:p>
        </w:tc>
      </w:tr>
      <w:tr>
        <w:tc>
          <w:tcPr>
            <w:tcW w:type="dxa" w:w="3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IP / Supply Chain</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8"/>
                <w:szCs w:val="18"/>
              </w:rPr>
              <w:t xml:space="preserve">→</w:t>
            </w:r>
          </w:p>
        </w:tc>
        <w:tc>
          <w:tcPr>
            <w:tcW w:type="dxa" w:w="3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Poland customs delay (R-06) resolved Aug 2026</w:t>
            </w:r>
          </w:p>
        </w:tc>
      </w:tr>
      <w:tr>
        <w:tc>
          <w:tcPr>
            <w:tcW w:type="dxa" w:w="3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Systems &amp; Data (EDC / IRT)</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7"/>
                <w:szCs w:val="17"/>
              </w:rPr>
              <w:t xml:space="preserve">Green</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8"/>
                <w:szCs w:val="18"/>
              </w:rPr>
              <w:t xml:space="preserve">→</w:t>
            </w:r>
          </w:p>
        </w:tc>
        <w:tc>
          <w:tcPr>
            <w:tcW w:type="dxa" w:w="3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No open issues</w:t>
            </w:r>
          </w:p>
        </w:tc>
      </w:tr>
    </w:tbl>
    <w:p>
      <w:pPr>
        <w:spacing w:after="100" w:before="0"/>
      </w:pPr>
      <w:r>
        <w:rPr>
          <w:rFonts w:ascii="Calibri" w:cs="Calibri" w:eastAsia="Calibri" w:hAnsi="Calibri"/>
          <w:color w:val="3A3A3A"/>
          <w:sz w:val="21"/>
          <w:szCs w:val="21"/>
        </w:rPr>
        <w:t xml:space="preserve"/>
      </w:r>
    </w:p>
    <w:p>
      <w:pPr>
        <w:spacing w:after="40" w:before="0"/>
      </w:pPr>
      <w:r>
        <w:rPr>
          <w:rFonts w:ascii="Calibri" w:cs="Calibri" w:eastAsia="Calibri" w:hAnsi="Calibri"/>
          <w:b/>
          <w:bCs/>
          <w:color w:val="0B1F45"/>
          <w:sz w:val="18"/>
          <w:szCs w:val="18"/>
        </w:rPr>
        <w:t xml:space="preserve">RAG definitions:  </w:t>
      </w:r>
    </w:p>
    <w:p>
      <w:pPr>
        <w:pStyle w:val="ListParagraph"/>
        <w:numPr>
          <w:ilvl w:val="0"/>
          <w:numId w:val="1"/>
        </w:numPr>
        <w:spacing w:after="90"/>
      </w:pPr>
      <w:r>
        <w:rPr>
          <w:rFonts w:ascii="Calibri" w:cs="Calibri" w:eastAsia="Calibri" w:hAnsi="Calibri"/>
          <w:color w:val="3A3A3A"/>
          <w:sz w:val="18"/>
          <w:szCs w:val="18"/>
        </w:rPr>
        <w:t xml:space="preserve">Green — on track against plan; no action needed.</w:t>
      </w:r>
    </w:p>
    <w:p>
      <w:pPr>
        <w:pStyle w:val="ListParagraph"/>
        <w:numPr>
          <w:ilvl w:val="0"/>
          <w:numId w:val="1"/>
        </w:numPr>
        <w:spacing w:after="90"/>
      </w:pPr>
      <w:r>
        <w:rPr>
          <w:rFonts w:ascii="Calibri" w:cs="Calibri" w:eastAsia="Calibri" w:hAnsi="Calibri"/>
          <w:color w:val="3A3A3A"/>
          <w:sz w:val="18"/>
          <w:szCs w:val="18"/>
        </w:rPr>
        <w:t xml:space="preserve">Amber — at risk of slipping; actively being managed by the study team.</w:t>
      </w:r>
    </w:p>
    <w:p>
      <w:pPr>
        <w:pStyle w:val="ListParagraph"/>
        <w:numPr>
          <w:ilvl w:val="0"/>
          <w:numId w:val="1"/>
        </w:numPr>
        <w:spacing w:after="90"/>
      </w:pPr>
      <w:r>
        <w:rPr>
          <w:rFonts w:ascii="Calibri" w:cs="Calibri" w:eastAsia="Calibri" w:hAnsi="Calibri"/>
          <w:color w:val="3A3A3A"/>
          <w:sz w:val="18"/>
          <w:szCs w:val="18"/>
        </w:rPr>
        <w:t xml:space="preserve">Red — off track; requires escalation or a decision from sponsor / steering committee.</w:t>
      </w:r>
    </w:p>
    <w:p>
      <w:r>
        <w:br w:type="page"/>
      </w:r>
    </w:p>
    <w:p>
      <w:pPr>
        <w:pStyle w:val="Heading2"/>
        <w:spacing w:after="60" w:before="300"/>
      </w:pPr>
      <w:r>
        <w:rPr>
          <w:rFonts w:ascii="Calibri" w:cs="Calibri" w:eastAsia="Calibri" w:hAnsi="Calibri"/>
          <w:b/>
          <w:bCs/>
          <w:color w:val="0B1F45"/>
          <w:sz w:val="24"/>
          <w:szCs w:val="24"/>
        </w:rPr>
        <w:t xml:space="preserve">Section C: Site Activation &amp; Enrollment Status</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3600"/>
        <w:gridCol w:w="1700"/>
        <w:gridCol w:w="1700"/>
        <w:gridCol w:w="1700"/>
        <w:gridCol w:w="2100"/>
      </w:tblGrid>
      <w:tr>
        <w:trPr>
          <w:tblHeader/>
        </w:trPr>
        <w:tc>
          <w:tcPr>
            <w:tcW w:type="dxa" w:w="3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Metric</w:t>
            </w:r>
          </w:p>
        </w:tc>
        <w:tc>
          <w:tcPr>
            <w:tcW w:type="dxa" w:w="17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This Week</w:t>
            </w:r>
          </w:p>
        </w:tc>
        <w:tc>
          <w:tcPr>
            <w:tcW w:type="dxa" w:w="17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Cumulative</w:t>
            </w:r>
          </w:p>
        </w:tc>
        <w:tc>
          <w:tcPr>
            <w:tcW w:type="dxa" w:w="17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Target</w:t>
            </w:r>
          </w:p>
        </w:tc>
        <w:tc>
          <w:tcPr>
            <w:tcW w:type="dxa" w:w="21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 of Target</w:t>
            </w:r>
          </w:p>
        </w:tc>
      </w:tr>
      <w:tr>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Sites contracted</w:t>
            </w:r>
          </w:p>
        </w:tc>
        <w:tc>
          <w:tcPr>
            <w:tcW w:type="dxa" w:w="1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0</w:t>
            </w:r>
          </w:p>
        </w:tc>
        <w:tc>
          <w:tcPr>
            <w:tcW w:type="dxa" w:w="1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8</w:t>
            </w:r>
          </w:p>
        </w:tc>
        <w:tc>
          <w:tcPr>
            <w:tcW w:type="dxa" w:w="1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8</w:t>
            </w:r>
          </w:p>
        </w:tc>
        <w:tc>
          <w:tcPr>
            <w:tcW w:type="dxa" w:w="2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100%</w:t>
            </w:r>
          </w:p>
        </w:tc>
      </w:tr>
      <w:tr>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Sites with regulatory / EC approval</w:t>
            </w:r>
          </w:p>
        </w:tc>
        <w:tc>
          <w:tcPr>
            <w:tcW w:type="dxa" w:w="1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0</w:t>
            </w:r>
          </w:p>
        </w:tc>
        <w:tc>
          <w:tcPr>
            <w:tcW w:type="dxa" w:w="1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8</w:t>
            </w:r>
          </w:p>
        </w:tc>
        <w:tc>
          <w:tcPr>
            <w:tcW w:type="dxa" w:w="1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8</w:t>
            </w:r>
          </w:p>
        </w:tc>
        <w:tc>
          <w:tcPr>
            <w:tcW w:type="dxa" w:w="2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100%</w:t>
            </w:r>
          </w:p>
        </w:tc>
      </w:tr>
      <w:tr>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Sites activated (ready to enroll)</w:t>
            </w:r>
          </w:p>
        </w:tc>
        <w:tc>
          <w:tcPr>
            <w:tcW w:type="dxa" w:w="1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0</w:t>
            </w:r>
          </w:p>
        </w:tc>
        <w:tc>
          <w:tcPr>
            <w:tcW w:type="dxa" w:w="1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8</w:t>
            </w:r>
          </w:p>
        </w:tc>
        <w:tc>
          <w:tcPr>
            <w:tcW w:type="dxa" w:w="1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8</w:t>
            </w:r>
          </w:p>
        </w:tc>
        <w:tc>
          <w:tcPr>
            <w:tcW w:type="dxa" w:w="2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100%</w:t>
            </w:r>
          </w:p>
        </w:tc>
      </w:tr>
      <w:tr>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Subjects screened</w:t>
            </w:r>
          </w:p>
        </w:tc>
        <w:tc>
          <w:tcPr>
            <w:tcW w:type="dxa" w:w="1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6</w:t>
            </w:r>
          </w:p>
        </w:tc>
        <w:tc>
          <w:tcPr>
            <w:tcW w:type="dxa" w:w="1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89</w:t>
            </w:r>
          </w:p>
        </w:tc>
        <w:tc>
          <w:tcPr>
            <w:tcW w:type="dxa" w:w="1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w:t>
            </w:r>
          </w:p>
        </w:tc>
        <w:tc>
          <w:tcPr>
            <w:tcW w:type="dxa" w:w="2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w:t>
            </w:r>
          </w:p>
        </w:tc>
      </w:tr>
      <w:tr>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Subjects screen-failed</w:t>
            </w:r>
          </w:p>
        </w:tc>
        <w:tc>
          <w:tcPr>
            <w:tcW w:type="dxa" w:w="1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2</w:t>
            </w:r>
          </w:p>
        </w:tc>
        <w:tc>
          <w:tcPr>
            <w:tcW w:type="dxa" w:w="1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34</w:t>
            </w:r>
          </w:p>
        </w:tc>
        <w:tc>
          <w:tcPr>
            <w:tcW w:type="dxa" w:w="17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w:t>
            </w:r>
          </w:p>
        </w:tc>
        <w:tc>
          <w:tcPr>
            <w:tcW w:type="dxa" w:w="2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w:t>
            </w:r>
          </w:p>
        </w:tc>
      </w:tr>
      <w:tr>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7"/>
                <w:szCs w:val="17"/>
              </w:rPr>
              <w:t xml:space="preserve">Subjects enrolled / randomized</w:t>
            </w:r>
          </w:p>
        </w:tc>
        <w:tc>
          <w:tcPr>
            <w:tcW w:type="dxa" w:w="1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4</w:t>
            </w:r>
          </w:p>
        </w:tc>
        <w:tc>
          <w:tcPr>
            <w:tcW w:type="dxa" w:w="1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55</w:t>
            </w:r>
          </w:p>
        </w:tc>
        <w:tc>
          <w:tcPr>
            <w:tcW w:type="dxa" w:w="17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7"/>
                <w:szCs w:val="17"/>
              </w:rPr>
              <w:t xml:space="preserve">140</w:t>
            </w:r>
          </w:p>
        </w:tc>
        <w:tc>
          <w:tcPr>
            <w:tcW w:type="dxa" w:w="2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7"/>
                <w:szCs w:val="17"/>
              </w:rPr>
              <w:t xml:space="preserve">39%</w:t>
            </w:r>
          </w:p>
        </w:tc>
      </w:tr>
    </w:tbl>
    <w:p>
      <w:pPr>
        <w:spacing w:after="160" w:before="0"/>
      </w:pPr>
      <w:r>
        <w:rPr>
          <w:rFonts w:ascii="Calibri" w:cs="Calibri" w:eastAsia="Calibri" w:hAnsi="Calibri"/>
          <w:color w:val="3A3A3A"/>
          <w:sz w:val="21"/>
          <w:szCs w:val="21"/>
        </w:rPr>
        <w:t xml:space="preserve"/>
      </w:r>
    </w:p>
    <w:p>
      <w:pPr>
        <w:spacing w:after="80" w:before="0"/>
      </w:pPr>
      <w:r>
        <w:rPr>
          <w:rFonts w:ascii="Calibri" w:cs="Calibri" w:eastAsia="Calibri" w:hAnsi="Calibri"/>
          <w:b/>
          <w:bCs/>
          <w:color w:val="0B1F45"/>
          <w:sz w:val="20"/>
          <w:szCs w:val="20"/>
        </w:rPr>
        <w:t xml:space="preserve">Site-by-Site Detail</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3600"/>
        <w:gridCol w:w="2200"/>
        <w:gridCol w:w="2000"/>
        <w:gridCol w:w="3000"/>
      </w:tblGrid>
      <w:tr>
        <w:trPr>
          <w:tblHeader/>
        </w:trPr>
        <w:tc>
          <w:tcPr>
            <w:tcW w:type="dxa" w:w="3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ID / Name</w:t>
            </w:r>
          </w:p>
        </w:tc>
        <w:tc>
          <w:tcPr>
            <w:tcW w:type="dxa" w:w="2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Activation Status</w:t>
            </w:r>
          </w:p>
        </w:tc>
        <w:tc>
          <w:tcPr>
            <w:tcW w:type="dxa" w:w="20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Subjects Enrolled</w:t>
            </w:r>
          </w:p>
        </w:tc>
        <w:tc>
          <w:tcPr>
            <w:tcW w:type="dxa" w:w="30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Issues / Notes</w:t>
            </w:r>
          </w:p>
        </w:tc>
      </w:tr>
      <w:tr>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SP-01 — Hospital Universitario del Sureste</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6"/>
                <w:szCs w:val="16"/>
              </w:rPr>
              <w:t xml:space="preserve">Active</w:t>
            </w:r>
          </w:p>
        </w:tc>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12</w:t>
            </w:r>
          </w:p>
        </w:tc>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val="false"/>
                <w:iCs w:val="false"/>
                <w:color w:val="6B6B6B"/>
                <w:sz w:val="15"/>
                <w:szCs w:val="15"/>
              </w:rPr>
              <w:t xml:space="preserve"/>
            </w:r>
          </w:p>
        </w:tc>
      </w:tr>
      <w:tr>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SP-02 — Barcelona Metropolitan Cancer Center</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6"/>
                <w:szCs w:val="16"/>
              </w:rPr>
              <w:t xml:space="preserve">Active</w:t>
            </w:r>
          </w:p>
        </w:tc>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10</w:t>
            </w:r>
          </w:p>
        </w:tc>
        <w:tc>
          <w:tcPr>
            <w:tcW w:type="dxa" w:w="3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val="false"/>
                <w:iCs w:val="false"/>
                <w:color w:val="6B6B6B"/>
                <w:sz w:val="15"/>
                <w:szCs w:val="15"/>
              </w:rPr>
              <w:t xml:space="preserve"/>
            </w:r>
          </w:p>
        </w:tc>
      </w:tr>
      <w:tr>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SP-03 — Valencia Regional Oncology Institute</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6"/>
                <w:szCs w:val="16"/>
              </w:rPr>
              <w:t xml:space="preserve">Active</w:t>
            </w:r>
          </w:p>
        </w:tc>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8</w:t>
            </w:r>
          </w:p>
        </w:tc>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val="false"/>
                <w:iCs w:val="false"/>
                <w:color w:val="6B6B6B"/>
                <w:sz w:val="15"/>
                <w:szCs w:val="15"/>
              </w:rPr>
              <w:t xml:space="preserve"/>
            </w:r>
          </w:p>
        </w:tc>
      </w:tr>
      <w:tr>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PL-01 — Warsaw National Oncology Center</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6"/>
                <w:szCs w:val="16"/>
              </w:rPr>
              <w:t xml:space="preserve">Active</w:t>
            </w:r>
          </w:p>
        </w:tc>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9</w:t>
            </w:r>
          </w:p>
        </w:tc>
        <w:tc>
          <w:tcPr>
            <w:tcW w:type="dxa" w:w="3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val="false"/>
                <w:iCs w:val="false"/>
                <w:color w:val="6B6B6B"/>
                <w:sz w:val="15"/>
                <w:szCs w:val="15"/>
              </w:rPr>
              <w:t xml:space="preserve"/>
            </w:r>
          </w:p>
        </w:tc>
      </w:tr>
      <w:tr>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PL-02 — Kraków University Hospital</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6"/>
                <w:szCs w:val="16"/>
              </w:rPr>
              <w:t xml:space="preserve">Active</w:t>
            </w:r>
          </w:p>
        </w:tc>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7</w:t>
            </w:r>
          </w:p>
        </w:tc>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val="false"/>
                <w:iCs w:val="false"/>
                <w:color w:val="6B6B6B"/>
                <w:sz w:val="15"/>
                <w:szCs w:val="15"/>
              </w:rPr>
              <w:t xml:space="preserve"/>
            </w:r>
          </w:p>
        </w:tc>
      </w:tr>
      <w:tr>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PL-03 — Poznań Regional Cancer Institute</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6"/>
                <w:szCs w:val="16"/>
              </w:rPr>
              <w:t xml:space="preserve">Active</w:t>
            </w:r>
          </w:p>
        </w:tc>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6</w:t>
            </w:r>
          </w:p>
        </w:tc>
        <w:tc>
          <w:tcPr>
            <w:tcW w:type="dxa" w:w="3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Enhanced monitoring per Scorecard Hold rating; on track</w:t>
            </w:r>
          </w:p>
        </w:tc>
      </w:tr>
      <w:tr>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DE-01 — Berlin Metropolitan Oncology Research Unit</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6"/>
                <w:szCs w:val="16"/>
              </w:rPr>
              <w:t xml:space="preserve">Active</w:t>
            </w:r>
          </w:p>
        </w:tc>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2</w:t>
            </w:r>
          </w:p>
        </w:tc>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Slower start; within normal range for site size</w:t>
            </w:r>
          </w:p>
        </w:tc>
      </w:tr>
      <w:tr>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DE-02 — Munich Central Oncology Institute</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6"/>
                <w:szCs w:val="16"/>
              </w:rPr>
              <w:t xml:space="preserve">Active</w:t>
            </w:r>
          </w:p>
        </w:tc>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1</w:t>
            </w:r>
          </w:p>
        </w:tc>
        <w:tc>
          <w:tcPr>
            <w:tcW w:type="dxa" w:w="3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C0392B"/>
                <w:sz w:val="15"/>
                <w:szCs w:val="15"/>
              </w:rPr>
              <w:t xml:space="preserve">At Risk — competing trial impacting screening (R-07)</w:t>
            </w:r>
          </w:p>
        </w:tc>
      </w:tr>
    </w:tbl>
    <w:p>
      <w:r>
        <w:br w:type="page"/>
      </w:r>
    </w:p>
    <w:p>
      <w:pPr>
        <w:pStyle w:val="Heading2"/>
        <w:spacing w:after="60" w:before="300"/>
      </w:pPr>
      <w:r>
        <w:rPr>
          <w:rFonts w:ascii="Calibri" w:cs="Calibri" w:eastAsia="Calibri" w:hAnsi="Calibri"/>
          <w:b/>
          <w:bCs/>
          <w:color w:val="0B1F45"/>
          <w:sz w:val="24"/>
          <w:szCs w:val="24"/>
        </w:rPr>
        <w:t xml:space="preserve">Section D: Key Risks &amp; Issues</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3800"/>
        <w:gridCol w:w="1400"/>
        <w:gridCol w:w="1800"/>
        <w:gridCol w:w="2800"/>
        <w:gridCol w:w="1000"/>
      </w:tblGrid>
      <w:tr>
        <w:trPr>
          <w:tblHeader/>
        </w:trPr>
        <w:tc>
          <w:tcPr>
            <w:tcW w:type="dxa" w:w="38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Risk / Issue</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Impact</w:t>
            </w:r>
          </w:p>
        </w:tc>
        <w:tc>
          <w:tcPr>
            <w:tcW w:type="dxa" w:w="18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Owner</w:t>
            </w:r>
          </w:p>
        </w:tc>
        <w:tc>
          <w:tcPr>
            <w:tcW w:type="dxa" w:w="28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Mitigation / Next Action</w:t>
            </w:r>
          </w:p>
        </w:tc>
        <w:tc>
          <w:tcPr>
            <w:tcW w:type="dxa" w:w="10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Status</w:t>
            </w:r>
          </w:p>
        </w:tc>
      </w:tr>
      <w:tr>
        <w:tc>
          <w:tcPr>
            <w:tcW w:type="dxa" w:w="3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5"/>
                <w:szCs w:val="15"/>
              </w:rPr>
              <w:t xml:space="preserve">R-07 — Competing trial (NCT-EXT-3391, same indication) at DE-02 (Munich) reducing the eligible patient pool.</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C0392B"/>
                <w:sz w:val="16"/>
                <w:szCs w:val="16"/>
              </w:rPr>
              <w:t xml:space="preserve">High</w:t>
            </w:r>
          </w:p>
        </w:tc>
        <w:tc>
          <w:tcPr>
            <w:tcW w:type="dxa" w:w="1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5"/>
                <w:szCs w:val="15"/>
              </w:rPr>
              <w:t xml:space="preserve">Recruitment Lead</w:t>
            </w:r>
          </w:p>
        </w:tc>
        <w:tc>
          <w:tcPr>
            <w:tcW w:type="dxa" w:w="2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5"/>
                <w:szCs w:val="15"/>
              </w:rPr>
              <w:t xml:space="preserve">Monitor competing-trial enrollment monthly via the Competing Studies Log; evaluate a backup German site if the gap persists beyond Month 5.</w:t>
            </w:r>
          </w:p>
        </w:tc>
        <w:tc>
          <w:tcPr>
            <w:tcW w:type="dxa" w:w="1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5"/>
                <w:szCs w:val="15"/>
              </w:rPr>
              <w:t xml:space="preserve">Open</w:t>
            </w:r>
          </w:p>
        </w:tc>
      </w:tr>
      <w:tr>
        <w:tc>
          <w:tcPr>
            <w:tcW w:type="dxa" w:w="3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5"/>
                <w:szCs w:val="15"/>
              </w:rPr>
              <w:t xml:space="preserve">R-06 — Investigational product shipment delay at Poland customs.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B8860B"/>
                <w:sz w:val="16"/>
                <w:szCs w:val="16"/>
              </w:rPr>
              <w:t xml:space="preserve">Medium</w:t>
            </w:r>
          </w:p>
        </w:tc>
        <w:tc>
          <w:tcPr>
            <w:tcW w:type="dxa" w:w="1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5"/>
                <w:szCs w:val="15"/>
              </w:rPr>
              <w:t xml:space="preserve">Regulatory Affairs / Pharmacy</w:t>
            </w:r>
          </w:p>
        </w:tc>
        <w:tc>
          <w:tcPr>
            <w:tcW w:type="dxa" w:w="2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5"/>
                <w:szCs w:val="15"/>
              </w:rPr>
              <w:t xml:space="preserve">Resolved — customs broker engagement cleared all pending shipments.</w:t>
            </w:r>
          </w:p>
        </w:tc>
        <w:tc>
          <w:tcPr>
            <w:tcW w:type="dxa" w:w="1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5"/>
                <w:szCs w:val="15"/>
              </w:rPr>
              <w:t xml:space="preserve">Closed</w:t>
            </w:r>
          </w:p>
        </w:tc>
      </w:tr>
      <w:tr>
        <w:tc>
          <w:tcPr>
            <w:tcW w:type="dxa" w:w="3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5"/>
                <w:szCs w:val="15"/>
              </w:rPr>
              <w:t xml:space="preserve">R-04 — Germany site budget counter-proposal (DE-01, DE-02).</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C0392B"/>
                <w:sz w:val="16"/>
                <w:szCs w:val="16"/>
              </w:rPr>
              <w:t xml:space="preserve">High</w:t>
            </w:r>
          </w:p>
        </w:tc>
        <w:tc>
          <w:tcPr>
            <w:tcW w:type="dxa" w:w="1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5"/>
                <w:szCs w:val="15"/>
              </w:rPr>
              <w:t xml:space="preserve">Finance / PM</w:t>
            </w:r>
          </w:p>
        </w:tc>
        <w:tc>
          <w:tcPr>
            <w:tcW w:type="dxa" w:w="2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5"/>
                <w:szCs w:val="15"/>
              </w:rPr>
              <w:t xml:space="preserve">Resolved — revised rate agreed within approved contingency.</w:t>
            </w:r>
          </w:p>
        </w:tc>
        <w:tc>
          <w:tcPr>
            <w:tcW w:type="dxa" w:w="1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5"/>
                <w:szCs w:val="15"/>
              </w:rPr>
              <w:t xml:space="preserve">Closed</w:t>
            </w:r>
          </w:p>
        </w:tc>
      </w:tr>
    </w:tbl>
    <w:p>
      <w:pPr>
        <w:spacing w:after="100" w:before="0"/>
      </w:pPr>
      <w:r>
        <w:rPr>
          <w:rFonts w:ascii="Calibri" w:cs="Calibri" w:eastAsia="Calibri" w:hAnsi="Calibri"/>
          <w:color w:val="3A3A3A"/>
          <w:sz w:val="21"/>
          <w:szCs w:val="21"/>
        </w:rPr>
        <w:t xml:space="preserve"/>
      </w:r>
    </w:p>
    <w:p>
      <w:pPr>
        <w:pStyle w:val="Heading2"/>
        <w:spacing w:after="60" w:before="300"/>
      </w:pPr>
      <w:r>
        <w:rPr>
          <w:rFonts w:ascii="Calibri" w:cs="Calibri" w:eastAsia="Calibri" w:hAnsi="Calibri"/>
          <w:b/>
          <w:bCs/>
          <w:color w:val="0B1F45"/>
          <w:sz w:val="24"/>
          <w:szCs w:val="24"/>
        </w:rPr>
        <w:t xml:space="preserve">Section E: Milestones &amp; Upcoming Activities</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3600"/>
        <w:gridCol w:w="2200"/>
        <w:gridCol w:w="2000"/>
        <w:gridCol w:w="3000"/>
      </w:tblGrid>
      <w:tr>
        <w:trPr>
          <w:tblHeader/>
        </w:trPr>
        <w:tc>
          <w:tcPr>
            <w:tcW w:type="dxa" w:w="3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Milestone</w:t>
            </w:r>
          </w:p>
        </w:tc>
        <w:tc>
          <w:tcPr>
            <w:tcW w:type="dxa" w:w="2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Planned Date</w:t>
            </w:r>
          </w:p>
        </w:tc>
        <w:tc>
          <w:tcPr>
            <w:tcW w:type="dxa" w:w="20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Status</w:t>
            </w:r>
          </w:p>
        </w:tc>
        <w:tc>
          <w:tcPr>
            <w:tcW w:type="dxa" w:w="30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Notes</w:t>
            </w:r>
          </w:p>
        </w:tc>
      </w:tr>
      <w:tr>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First DSMB Safety Review</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6"/>
                <w:szCs w:val="16"/>
              </w:rPr>
              <w:t xml:space="preserve">15-Feb-2027</w:t>
            </w:r>
          </w:p>
        </w:tc>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On Track</w:t>
            </w:r>
          </w:p>
        </w:tc>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Data cut 31 Jan 2027</w:t>
            </w:r>
          </w:p>
        </w:tc>
      </w:tr>
      <w:tr>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Backup German site activation decision</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6"/>
                <w:szCs w:val="16"/>
              </w:rPr>
              <w:t xml:space="preserve">15-Feb-2027</w:t>
            </w:r>
          </w:p>
        </w:tc>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Pending</w:t>
            </w:r>
          </w:p>
        </w:tc>
        <w:tc>
          <w:tcPr>
            <w:tcW w:type="dxa" w:w="3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Contingent on DE-02 trend through Month 5</w:t>
            </w:r>
          </w:p>
        </w:tc>
      </w:tr>
      <w:tr>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50% Enrollment Milestone (70 subjects)</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6"/>
                <w:szCs w:val="16"/>
              </w:rPr>
              <w:t xml:space="preserve">~Mar-2027</w:t>
            </w:r>
          </w:p>
        </w:tc>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On Track</w:t>
            </w:r>
          </w:p>
        </w:tc>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Projected at current pace</w:t>
            </w:r>
          </w:p>
        </w:tc>
      </w:tr>
      <w:tr>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Interim database lock (50% enrollment)</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6"/>
                <w:szCs w:val="16"/>
              </w:rPr>
              <w:t xml:space="preserve">Apr-2027</w:t>
            </w:r>
          </w:p>
        </w:tc>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Not Started</w:t>
            </w:r>
          </w:p>
        </w:tc>
        <w:tc>
          <w:tcPr>
            <w:tcW w:type="dxa" w:w="3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bl>
    <w:p>
      <w:r>
        <w:br w:type="page"/>
      </w:r>
    </w:p>
    <w:p>
      <w:pPr>
        <w:pStyle w:val="Heading2"/>
        <w:spacing w:after="60" w:before="300"/>
      </w:pPr>
      <w:r>
        <w:rPr>
          <w:rFonts w:ascii="Calibri" w:cs="Calibri" w:eastAsia="Calibri" w:hAnsi="Calibri"/>
          <w:b/>
          <w:bCs/>
          <w:color w:val="0B1F45"/>
          <w:sz w:val="24"/>
          <w:szCs w:val="24"/>
        </w:rPr>
        <w:t xml:space="preserve">Section F: Action Items &amp; Decisions Needed</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200"/>
        <w:gridCol w:w="2200"/>
        <w:gridCol w:w="1800"/>
        <w:gridCol w:w="2600"/>
      </w:tblGrid>
      <w:tr>
        <w:trPr>
          <w:tblHeader/>
        </w:trPr>
        <w:tc>
          <w:tcPr>
            <w:tcW w:type="dxa" w:w="4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Action Item / Decision Needed</w:t>
            </w:r>
          </w:p>
        </w:tc>
        <w:tc>
          <w:tcPr>
            <w:tcW w:type="dxa" w:w="2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Owner</w:t>
            </w:r>
          </w:p>
        </w:tc>
        <w:tc>
          <w:tcPr>
            <w:tcW w:type="dxa" w:w="18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Due Date</w:t>
            </w:r>
          </w:p>
        </w:tc>
        <w:tc>
          <w:tcPr>
            <w:tcW w:type="dxa" w:w="2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Status</w:t>
            </w:r>
          </w:p>
        </w:tc>
      </w:tr>
      <w:tr>
        <w:tc>
          <w:tcPr>
            <w:tcW w:type="dxa" w:w="4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Decide on backup German site activation</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6"/>
                <w:szCs w:val="16"/>
              </w:rPr>
              <w:t xml:space="preserve">Recruitment Lead / Sponsor</w:t>
            </w:r>
          </w:p>
        </w:tc>
        <w:tc>
          <w:tcPr>
            <w:tcW w:type="dxa" w:w="1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6"/>
                <w:szCs w:val="16"/>
              </w:rPr>
              <w:t xml:space="preserve">15-Feb-2027</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Pending</w:t>
            </w:r>
          </w:p>
        </w:tc>
      </w:tr>
      <w:tr>
        <w:tc>
          <w:tcPr>
            <w:tcW w:type="dxa" w:w="4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Finalize DSMB briefing package</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6"/>
                <w:szCs w:val="16"/>
              </w:rPr>
              <w:t xml:space="preserve">Medical Monitor</w:t>
            </w:r>
          </w:p>
        </w:tc>
        <w:tc>
          <w:tcPr>
            <w:tcW w:type="dxa" w:w="1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16"/>
                <w:szCs w:val="16"/>
              </w:rPr>
              <w:t xml:space="preserve">10-Feb-2027</w:t>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In Progress</w:t>
            </w:r>
          </w:p>
        </w:tc>
      </w:tr>
      <w:tr>
        <w:tc>
          <w:tcPr>
            <w:tcW w:type="dxa" w:w="4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Confirm Q1 investigational product supply forecast with PanEuro / TrialLogic</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6"/>
                <w:szCs w:val="16"/>
              </w:rPr>
              <w:t xml:space="preserve">Vendor Management</w:t>
            </w:r>
          </w:p>
        </w:tc>
        <w:tc>
          <w:tcPr>
            <w:tcW w:type="dxa" w:w="1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16"/>
                <w:szCs w:val="16"/>
              </w:rPr>
              <w:t xml:space="preserve">07-Feb-2027</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16"/>
                <w:szCs w:val="16"/>
              </w:rPr>
              <w:t xml:space="preserve">Not Started</w:t>
            </w:r>
          </w:p>
        </w:tc>
      </w:tr>
    </w:tbl>
    <w:p>
      <w:pPr>
        <w:spacing w:after="240" w:before="0"/>
      </w:pPr>
      <w:r>
        <w:rPr>
          <w:rFonts w:ascii="Calibri" w:cs="Calibri" w:eastAsia="Calibri" w:hAnsi="Calibri"/>
          <w:color w:val="3A3A3A"/>
          <w:sz w:val="21"/>
          <w:szCs w:val="21"/>
        </w:rPr>
        <w:t xml:space="preserve"/>
      </w:r>
    </w:p>
    <w:p>
      <w:pPr>
        <w:pBdr>
          <w:top w:val="single" w:color="D9DCE3" w:sz="4"/>
          <w:bottom w:val="single" w:color="D9DCE3" w:sz="4"/>
          <w:left w:val="single" w:color="D9DCE3" w:sz="4"/>
          <w:right w:val="single" w:color="D9DCE3" w:sz="4"/>
        </w:pBdr>
        <w:shd w:fill="F3F4F7" w:color="auto" w:val="clear"/>
        <w:spacing w:after="200" w:before="100"/>
      </w:pPr>
      <w:r>
        <w:rPr>
          <w:rFonts w:ascii="Calibri" w:cs="Calibri" w:eastAsia="Calibri" w:hAnsi="Calibri"/>
          <w:b/>
          <w:bCs/>
          <w:color w:val="0B1F45"/>
          <w:sz w:val="19"/>
          <w:szCs w:val="19"/>
        </w:rPr>
        <w:t xml:space="preserve">Next report:  </w:t>
      </w:r>
      <w:r>
        <w:rPr>
          <w:rFonts w:ascii="Calibri" w:cs="Calibri" w:eastAsia="Calibri" w:hAnsi="Calibri"/>
          <w:i/>
          <w:iCs/>
          <w:color w:val="3A3A3A"/>
          <w:sz w:val="19"/>
          <w:szCs w:val="19"/>
        </w:rPr>
        <w:t xml:space="preserve">The next Weekly Status Report is due to the distribution list above on Friday, 6 February 2027. The backup German site decision (Action Item, Section F) should be escalated immediately if not resolved by 15 February, rather than held for the next scheduled report.</w:t>
      </w:r>
    </w:p>
    <w:sectPr>
      <w:headerReference w:type="default" r:id="rId9"/>
      <w:footerReference w:type="default" r:id="rId10"/>
      <w:pgSz w:w="11906" w:h="16838" w:orient="portrait"/>
      <w:pgMar w:top="1000" w:right="900" w:bottom="1000" w:left="9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DCE3" w:sz="4" w:space="4"/>
      </w:pBdr>
      <w:tabs>
        <w:tab w:val="right" w:pos="9026"/>
      </w:tabs>
    </w:pPr>
    <w:r>
      <w:rPr>
        <w:rFonts w:ascii="Calibri" w:cs="Calibri" w:eastAsia="Calibri" w:hAnsi="Calibri"/>
        <w:color w:val="6B6B6B"/>
        <w:sz w:val="15"/>
        <w:szCs w:val="15"/>
      </w:rPr>
      <w:t xml:space="preserve">© Expert Clinical Trials — expertclinicaltrials.com — Licensed for internal use only</w:t>
    </w:r>
    <w:r>
      <w:rPr>
        <w:rFonts w:ascii="Calibri" w:cs="Calibri" w:eastAsia="Calibri" w:hAnsi="Calibri"/>
        <w:color w:val="6B6B6B"/>
        <w:sz w:val="15"/>
        <w:szCs w:val="15"/>
      </w:rPr>
      <w:t xml:space="preserve">	Page </w:t>
    </w:r>
    <w:r>
      <w:rPr>
        <w:rFonts w:ascii="Calibri" w:cs="Calibri" w:eastAsia="Calibri" w:hAnsi="Calibri"/>
        <w:color w:val="6B6B6B"/>
        <w:sz w:val="15"/>
        <w:szCs w:val="15"/>
      </w:rPr>
      <w:fldChar w:fldCharType="begin"/>
      <w:instrText xml:space="preserve">PAGE</w:instrText>
      <w:fldChar w:fldCharType="separate"/>
      <w:fldChar w:fldCharType="end"/>
    </w:r>
    <w:r>
      <w:rPr>
        <w:rFonts w:ascii="Calibri" w:cs="Calibri" w:eastAsia="Calibri" w:hAnsi="Calibri"/>
        <w:color w:val="6B6B6B"/>
        <w:sz w:val="15"/>
        <w:szCs w:val="15"/>
      </w:rPr>
      <w:t xml:space="preserve"> of </w:t>
    </w:r>
    <w:r>
      <w:rPr>
        <w:rFonts w:ascii="Calibri" w:cs="Calibri" w:eastAsia="Calibri" w:hAnsi="Calibri"/>
        <w:color w:val="6B6B6B"/>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9DCE3" w:sz="4" w:space="4"/>
      </w:pBdr>
      <w:tabs>
        <w:tab w:val="right" w:pos="9026"/>
      </w:tabs>
      <w:spacing w:after="40"/>
    </w:pPr>
    <w:r>
      <w:drawing>
        <wp:inline distT="0" distB="0" distL="0" distR="0">
          <wp:extent cx="152400" cy="152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152400" cy="152400"/>
                  </a:xfrm>
                  <a:prstGeom prst="rect">
                    <a:avLst/>
                  </a:prstGeom>
                </pic:spPr>
              </pic:pic>
            </a:graphicData>
          </a:graphic>
        </wp:inline>
      </w:drawing>
    </w:r>
    <w:r>
      <w:rPr>
        <w:rFonts w:ascii="Calibri" w:cs="Calibri" w:eastAsia="Calibri" w:hAnsi="Calibri"/>
        <w:b/>
        <w:bCs/>
        <w:color w:val="0B1F45"/>
        <w:sz w:val="16"/>
        <w:szCs w:val="16"/>
      </w:rPr>
      <w:t xml:space="preserve">  Filled-In Example Set — ORACLE-2</w:t>
    </w:r>
    <w:r>
      <w:rPr>
        <w:rFonts w:ascii="Calibri" w:cs="Calibri" w:eastAsia="Calibri" w:hAnsi="Calibri"/>
        <w:color w:val="6B6B6B"/>
        <w:sz w:val="16"/>
        <w:szCs w:val="16"/>
      </w:rPr>
      <w:t xml:space="preserve">	Weekly Status Report (Completed — 26–30 Jan 2027)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A3A3A"/>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image" Target="media/371fdfb75e5df52fb846262b8af26617b5a28a51.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Relationship Id="rId0" Type="http://schemas.openxmlformats.org/officeDocument/2006/relationships/image" Target="media/38b3cc415ffebf84d2bd91bfeb69b6a9ce335040.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2026-08-03T13:33:23.731Z</dcterms:created>
  <dcterms:modified xsi:type="dcterms:W3CDTF">2026-08-03T13:33:23.731Z</dcterms:modified>
</cp:coreProperties>
</file>

<file path=docProps/custom.xml><?xml version="1.0" encoding="utf-8"?>
<Properties xmlns="http://schemas.openxmlformats.org/officeDocument/2006/custom-properties" xmlns:vt="http://schemas.openxmlformats.org/officeDocument/2006/docPropsVTypes"/>
</file>