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11906"/>
      </w:tblGrid>
      <w:tr>
        <w:trPr>
          <w:trHeight w:val="16838" w:hRule="atLeast"/>
        </w:trPr>
        <w:tc>
          <w:tcPr>
            <w:tcW w:type="dxa" w:w="11906"/>
            <w:tcBorders>
              <w:top w:val="none" w:color="FFFFFF" w:sz="0"/>
              <w:left w:val="none" w:color="FFFFFF" w:sz="0"/>
              <w:bottom w:val="none" w:color="FFFFFF" w:sz="0"/>
              <w:right w:val="none" w:color="FFFFFF" w:sz="0"/>
            </w:tcBorders>
            <w:shd w:fill="0B1F45" w:color="auto" w:val="clear"/>
            <w:tcMar>
              <w:top w:type="dxa" w:w="1800"/>
              <w:left w:type="dxa" w:w="1000"/>
              <w:bottom w:type="dxa" w:w="1800"/>
              <w:right w:type="dxa" w:w="1000"/>
            </w:tcMar>
            <w:vAlign w:val="center"/>
          </w:tcPr>
          <w:p>
            <w:pPr>
              <w:spacing w:after="500"/>
              <w:jc w:val="left"/>
            </w:pPr>
            <w:r>
              <w:drawing>
                <wp:inline distT="0" distB="0" distL="0" distR="0">
                  <wp:extent cx="3409950" cy="742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3409950" cy="742950"/>
                          </a:xfrm>
                          <a:prstGeom prst="rect">
                            <a:avLst/>
                          </a:prstGeom>
                        </pic:spPr>
                      </pic:pic>
                    </a:graphicData>
                  </a:graphic>
                </wp:inline>
              </w:drawing>
            </w:r>
          </w:p>
          <w:p>
            <w:pPr>
              <w:spacing w:after="100"/>
            </w:pPr>
            <w:r>
              <w:rPr>
                <w:rFonts w:ascii="Calibri" w:cs="Calibri" w:eastAsia="Calibri" w:hAnsi="Calibri"/>
                <w:b/>
                <w:bCs/>
                <w:color w:val="FFFFFF"/>
                <w:spacing w:val="8"/>
                <w:sz w:val="24"/>
                <w:szCs w:val="24"/>
              </w:rPr>
              <w:t xml:space="preserve">CLINICAL TRIAL START-UP TOOLKIT — FILLED-IN EXAMPLE SET</w:t>
            </w:r>
          </w:p>
          <w:p>
            <w:pPr>
              <w:spacing w:after="40"/>
            </w:pPr>
            <w:r>
              <w:rPr>
                <w:rFonts w:ascii="Calibri" w:cs="Calibri" w:eastAsia="Calibri" w:hAnsi="Calibri"/>
                <w:b/>
                <w:bCs/>
                <w:color w:val="FFFFFF"/>
                <w:sz w:val="58"/>
                <w:szCs w:val="58"/>
              </w:rPr>
              <w:t xml:space="preserve">Study Start-Up Checklist</w:t>
            </w:r>
          </w:p>
          <w:p>
            <w:pPr>
              <w:spacing w:after="40"/>
            </w:pPr>
            <w:r>
              <w:rPr>
                <w:rFonts w:ascii="Calibri" w:cs="Calibri" w:eastAsia="Calibri" w:hAnsi="Calibri"/>
                <w:b/>
                <w:bCs/>
                <w:i/>
                <w:iCs/>
                <w:color w:val="F3B5A6"/>
                <w:sz w:val="30"/>
                <w:szCs w:val="30"/>
              </w:rPr>
              <w:t xml:space="preserve">— Completed Example —</w:t>
            </w:r>
          </w:p>
          <w:p>
            <w:pPr>
              <w:spacing w:after="700"/>
            </w:pPr>
            <w:r>
              <w:rPr>
                <w:rFonts w:ascii="Calibri" w:cs="Calibri" w:eastAsia="Calibri" w:hAnsi="Calibri"/>
                <w:i/>
                <w:iCs/>
                <w:color w:val="C7CEE3"/>
                <w:sz w:val="22"/>
                <w:szCs w:val="22"/>
              </w:rPr>
              <w:t xml:space="preserve">Component 12 of 12 — Worked Example: Protocol ORACLE-2, a Phase II NSCLC Trial in Spain, Poland &amp; Germany</w:t>
            </w:r>
          </w:p>
          <w:p>
            <w:pPr>
              <w:pBdr>
                <w:top w:val="single" w:color="E8543A" w:sz="6" w:space="8"/>
              </w:pBdr>
              <w:spacing w:after="100"/>
            </w:pPr>
            <w:r>
              <w:rPr>
                <w:sz w:val="2"/>
                <w:szCs w:val="2"/>
              </w:rPr>
              <w:t xml:space="preserve"/>
            </w:r>
          </w:p>
          <w:p>
            <w:pPr>
              <w:spacing w:after="40" w:before="200"/>
            </w:pPr>
            <w:r>
              <w:rPr>
                <w:rFonts w:ascii="Calibri" w:cs="Calibri" w:eastAsia="Calibri" w:hAnsi="Calibri"/>
                <w:b/>
                <w:bCs/>
                <w:color w:val="FFFFFF"/>
                <w:sz w:val="20"/>
                <w:szCs w:val="20"/>
              </w:rPr>
              <w:t xml:space="preserve">Sample Document — Prepared for Internal Review</w:t>
            </w:r>
          </w:p>
          <w:p>
            <w:pPr>
              <w:spacing w:after="20"/>
            </w:pPr>
            <w:r>
              <w:rPr>
                <w:rFonts w:ascii="Calibri" w:cs="Calibri" w:eastAsia="Calibri" w:hAnsi="Calibri"/>
                <w:color w:val="9AA4C2"/>
                <w:sz w:val="18"/>
                <w:szCs w:val="18"/>
              </w:rPr>
              <w:t xml:space="preserve">Fictional case study — all names, sites, and data are illustrative, not real</w:t>
            </w:r>
          </w:p>
          <w:p>
            <w:pPr>
              <w:spacing w:after="20"/>
            </w:pPr>
            <w:r>
              <w:rPr>
                <w:rFonts w:ascii="Calibri" w:cs="Calibri" w:eastAsia="Calibri" w:hAnsi="Calibri"/>
                <w:color w:val="9AA4C2"/>
                <w:sz w:val="18"/>
                <w:szCs w:val="18"/>
              </w:rPr>
              <w:t xml:space="preserve">Version 1.0 — 3 August 2026</w:t>
            </w:r>
          </w:p>
          <w:p>
            <w:r>
              <w:rPr>
                <w:rFonts w:ascii="Calibri" w:cs="Calibri" w:eastAsia="Calibri" w:hAnsi="Calibri"/>
                <w:color w:val="9AA4C2"/>
                <w:sz w:val="18"/>
                <w:szCs w:val="18"/>
              </w:rPr>
              <w:t xml:space="preserve">expertclinicaltrials.com</w:t>
            </w:r>
          </w:p>
        </w:tc>
      </w:tr>
    </w:tbl>
    <w:p>
      <w:pPr>
        <w:sectPr>
          <w:headerReference w:type="default" r:id="rId7"/>
          <w:footerReference w:type="default" r:id="rId8"/>
          <w:pgSz w:w="11906" w:h="16838" w:orient="portrait"/>
          <w:pgMar w:top="0" w:right="0" w:bottom="0" w:left="0" w:header="0" w:footer="0" w:gutter="0"/>
          <w:pgNumType/>
          <w:docGrid w:linePitch="360"/>
        </w:sectPr>
      </w:pPr>
    </w:p>
    <w:p>
      <w:pPr>
        <w:pStyle w:val="Heading1"/>
        <w:pBdr>
          <w:bottom w:val="single" w:color="E8543A" w:sz="12" w:space="4"/>
        </w:pBdr>
        <w:spacing w:after="160" w:before="320"/>
      </w:pPr>
      <w:r>
        <w:rPr>
          <w:rFonts w:ascii="Calibri" w:cs="Calibri" w:eastAsia="Calibri" w:hAnsi="Calibri"/>
          <w:b/>
          <w:bCs/>
          <w:color w:val="0B1F45"/>
          <w:sz w:val="30"/>
          <w:szCs w:val="30"/>
        </w:rPr>
        <w:t xml:space="preserve">About This Worked Example</w:t>
      </w:r>
    </w:p>
    <w:p>
      <w:pPr>
        <w:spacing w:after="160" w:before="0"/>
      </w:pPr>
      <w:r>
        <w:rPr>
          <w:rFonts w:ascii="Calibri" w:cs="Calibri" w:eastAsia="Calibri" w:hAnsi="Calibri"/>
          <w:color w:val="3A3A3A"/>
          <w:sz w:val="21"/>
          <w:szCs w:val="21"/>
        </w:rPr>
        <w:t xml:space="preserve">This is the Study Start-Up Checklist (Toolkit Component 1) completed for a fictional case study used throughout Component 12, the Filled-In Example Set: ORACLE-2, a Phase II, randomized, open-label trial of a second-line therapy for advanced Non-Small Cell Lung Cancer (NSCLC). Sponsor: Solara Oncology Therapeutics, S.A. Target enrollment: 140 subjects across 8 sites in Spain, Poland, and Germany (ES 60 / PL 50 / DE 30). Planned site activation (“Week 0”): 15 September 2026.</w:t>
      </w:r>
    </w:p>
    <w:p>
      <w:pPr>
        <w:spacing w:after="160" w:before="0"/>
      </w:pPr>
      <w:r>
        <w:rPr>
          <w:rFonts w:ascii="Calibri" w:cs="Calibri" w:eastAsia="Calibri" w:hAnsi="Calibri"/>
          <w:color w:val="3A3A3A"/>
          <w:sz w:val="21"/>
          <w:szCs w:val="21"/>
        </w:rPr>
        <w:t xml:space="preserve">This snapshot is dated 3 August 2026 — roughly Week -6, six weeks before planned activation. 76 action items are tracked below; 62% are marked Complete as of this date, with the remainder In Progress or Not Started because their window has not yet opened. The same fictional study is used consistently across all 11 other completed documents in this example set, so you can trace a single risk, site, or vendor across the whole toolkit.</w:t>
      </w:r>
    </w:p>
    <w:p>
      <w:pPr>
        <w:spacing w:after="100" w:before="0"/>
      </w:pPr>
      <w:r>
        <w:rPr>
          <w:rFonts w:ascii="Calibri" w:cs="Calibri" w:eastAsia="Calibri" w:hAnsi="Calibri"/>
          <w:b/>
          <w:bCs/>
          <w:color w:val="0B1F45"/>
          <w:sz w:val="21"/>
          <w:szCs w:val="21"/>
        </w:rPr>
        <w:t xml:space="preserve">Cross-referenced items in this example:</w:t>
      </w:r>
    </w:p>
    <w:p>
      <w:pPr>
        <w:pStyle w:val="ListParagraph"/>
        <w:numPr>
          <w:ilvl w:val="0"/>
          <w:numId w:val="1"/>
        </w:numPr>
        <w:spacing w:after="90"/>
      </w:pPr>
      <w:r>
        <w:rPr>
          <w:rFonts w:ascii="Calibri" w:cs="Calibri" w:eastAsia="Calibri" w:hAnsi="Calibri"/>
          <w:color w:val="3A3A3A"/>
          <w:sz w:val="20"/>
          <w:szCs w:val="20"/>
        </w:rPr>
        <w:t xml:space="preserve">Risk R-04 (Germany site budget counter-proposal) — Risk Register, Component 7</w:t>
      </w:r>
    </w:p>
    <w:p>
      <w:pPr>
        <w:pStyle w:val="ListParagraph"/>
        <w:numPr>
          <w:ilvl w:val="0"/>
          <w:numId w:val="1"/>
        </w:numPr>
        <w:spacing w:after="90"/>
      </w:pPr>
      <w:r>
        <w:rPr>
          <w:rFonts w:ascii="Calibri" w:cs="Calibri" w:eastAsia="Calibri" w:hAnsi="Calibri"/>
          <w:color w:val="3A3A3A"/>
          <w:sz w:val="20"/>
          <w:szCs w:val="20"/>
        </w:rPr>
        <w:t xml:space="preserve">Risk R-06 (Poland IP customs delay) — Risk Register, Component 7</w:t>
      </w:r>
    </w:p>
    <w:p>
      <w:pPr>
        <w:pStyle w:val="ListParagraph"/>
        <w:numPr>
          <w:ilvl w:val="0"/>
          <w:numId w:val="1"/>
        </w:numPr>
        <w:spacing w:after="90"/>
      </w:pPr>
      <w:r>
        <w:rPr>
          <w:rFonts w:ascii="Calibri" w:cs="Calibri" w:eastAsia="Calibri" w:hAnsi="Calibri"/>
          <w:color w:val="3A3A3A"/>
          <w:sz w:val="20"/>
          <w:szCs w:val="20"/>
        </w:rPr>
        <w:t xml:space="preserve">Sites SP-01 through DE-02 and backup site Gdańsk University Hospital — Site Selection Scorecard (Component 3) and Site Activation Tracker (Component 4)</w:t>
      </w:r>
    </w:p>
    <w:p>
      <w:pPr>
        <w:pStyle w:val="ListParagraph"/>
        <w:numPr>
          <w:ilvl w:val="0"/>
          <w:numId w:val="1"/>
        </w:numPr>
        <w:spacing w:after="90"/>
      </w:pPr>
      <w:r>
        <w:rPr>
          <w:rFonts w:ascii="Calibri" w:cs="Calibri" w:eastAsia="Calibri" w:hAnsi="Calibri"/>
          <w:color w:val="3A3A3A"/>
          <w:sz w:val="20"/>
          <w:szCs w:val="20"/>
        </w:rPr>
        <w:t xml:space="preserve">Vendors PanEuro Central Laboratories, TrialLogic RTSM, Veridata Clinical Systems — Vendor Onboarding Checklist, Component 9</w:t>
      </w:r>
    </w:p>
    <w:p>
      <w:pPr>
        <w:pBdr>
          <w:top w:val="single" w:color="D9DCE3" w:sz="4"/>
          <w:bottom w:val="single" w:color="D9DCE3" w:sz="4"/>
          <w:left w:val="single" w:color="D9DCE3" w:sz="4"/>
          <w:right w:val="single" w:color="D9DCE3" w:sz="4"/>
        </w:pBdr>
        <w:shd w:fill="F3F4F7" w:color="auto" w:val="clear"/>
        <w:spacing w:after="300" w:before="200"/>
      </w:pPr>
      <w:r>
        <w:rPr>
          <w:rFonts w:ascii="Calibri" w:cs="Calibri" w:eastAsia="Calibri" w:hAnsi="Calibri"/>
          <w:b/>
          <w:bCs/>
          <w:color w:val="0B1F45"/>
          <w:sz w:val="19"/>
          <w:szCs w:val="19"/>
        </w:rPr>
        <w:t xml:space="preserve">Fictional case study notice:  </w:t>
      </w:r>
      <w:r>
        <w:rPr>
          <w:rFonts w:ascii="Calibri" w:cs="Calibri" w:eastAsia="Calibri" w:hAnsi="Calibri"/>
          <w:i/>
          <w:iCs/>
          <w:color w:val="3A3A3A"/>
          <w:sz w:val="19"/>
          <w:szCs w:val="19"/>
        </w:rPr>
        <w:t xml:space="preserve">ORACLE-2, Solara Oncology Therapeutics, all site names, investigator names, and vendor names in this example set are entirely fictional and created for illustration only. Any resemblance to a real study, institution, or company is coincidental.</w:t>
      </w:r>
    </w:p>
    <w:p>
      <w:r>
        <w:br w:type="page"/>
      </w:r>
    </w:p>
    <w:p>
      <w:pPr>
        <w:pStyle w:val="Heading1"/>
        <w:pBdr>
          <w:bottom w:val="single" w:color="E8543A" w:sz="12" w:space="4"/>
        </w:pBdr>
        <w:spacing w:after="160" w:before="320"/>
      </w:pPr>
      <w:r>
        <w:rPr>
          <w:rFonts w:ascii="Calibri" w:cs="Calibri" w:eastAsia="Calibri" w:hAnsi="Calibri"/>
          <w:b/>
          <w:bCs/>
          <w:color w:val="0B1F45"/>
          <w:sz w:val="30"/>
          <w:szCs w:val="30"/>
        </w:rPr>
        <w:t xml:space="preserve">Completed Master Checklist</w:t>
      </w:r>
    </w:p>
    <w:p>
      <w:pPr>
        <w:spacing w:after="200" w:before="0"/>
      </w:pPr>
      <w:r>
        <w:rPr>
          <w:rFonts w:ascii="Calibri" w:cs="Calibri" w:eastAsia="Calibri" w:hAnsi="Calibri"/>
          <w:i/>
          <w:iCs/>
          <w:color w:val="6B6B6B"/>
          <w:sz w:val="21"/>
          <w:szCs w:val="21"/>
        </w:rPr>
        <w:t xml:space="preserve">76 action items across 9 phases — as of 3 August 2026 (Week -6).</w:t>
      </w:r>
    </w:p>
    <w:p>
      <w:pPr>
        <w:pStyle w:val="Heading2"/>
        <w:spacing w:after="120" w:before="260"/>
      </w:pPr>
      <w:r>
        <w:rPr>
          <w:rFonts w:ascii="Calibri" w:cs="Calibri" w:eastAsia="Calibri" w:hAnsi="Calibri"/>
          <w:b/>
          <w:bCs/>
          <w:color w:val="0B1F45"/>
          <w:sz w:val="24"/>
          <w:szCs w:val="24"/>
        </w:rPr>
        <w:t xml:space="preserve">Phase 1: Protocol &amp; Feasibility Finalization</w:t>
      </w:r>
    </w:p>
    <w:p>
      <w:pPr>
        <w:spacing w:after="140" w:before="0"/>
      </w:pPr>
      <w:r>
        <w:rPr>
          <w:rFonts w:ascii="Calibri" w:cs="Calibri" w:eastAsia="Calibri" w:hAnsi="Calibri"/>
          <w:i/>
          <w:iCs/>
          <w:color w:val="E8543A"/>
          <w:sz w:val="19"/>
          <w:szCs w:val="19"/>
        </w:rPr>
        <w:t xml:space="preserve">Typical timing: Week -12 to Week -10   |   Phase progress: 100% — Complete</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protocol synopsis and full protocol text; confirm version control and distribution list</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Medical Director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-12</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Protocol v2.0 approved 22 Jun 2026; filed in eTMF §1.1</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study design, primary/secondary endpoints, and Statistical Analysis Plan alignment with protocol</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Biostatistics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-12</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SAP v1.0 signed off 24 Jun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Complete country and site feasibility assessment (Toolkit Component 2)</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Feasibility / Clin Ops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-12 to -11</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9 sites assessed across Spain, Poland, Germany</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Define target enrollment number and per-country / per-site allocation</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n=140 total — ES 60 / PL 50 / DE 30</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final list of participating countries and regulatory pathway per country</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CTIS single submission confirmed for ES, PL, DE</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CRO / vendor operating model (full-service, functional service, or hybrid)</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Sponsor / Clin Ops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Hybrid model: full-service ES/PL via Meridian Clinical Solutions, functional DE</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study budget, payment milestones, and site payment schedule template</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Finance / 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Approved 3 Jul 2026; see Risk R-04 for the DE site rate exception</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8</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data management platform, EDC vendor, and eCRF build timeline</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Data Management</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EDC vendor: Veridata Clinical Systems; build kickoff 20 Jun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9</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central lab, imaging, and/or ECG vendor(s), if applicable to protocol</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Central lab: PanEuro Central Laboratories; imaging not required per protocol</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10</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IRT / RTSM vendor, randomization method, and drug supply strategy</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 / Pharmacy</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IRT vendor: TrialLogic RTSM; stratified randomization 1:1</w:t>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2: Regulatory &amp; Ethics Submissions</w:t>
      </w:r>
    </w:p>
    <w:p>
      <w:pPr>
        <w:spacing w:after="140" w:before="0"/>
      </w:pPr>
      <w:r>
        <w:rPr>
          <w:rFonts w:ascii="Calibri" w:cs="Calibri" w:eastAsia="Calibri" w:hAnsi="Calibri"/>
          <w:i/>
          <w:iCs/>
          <w:color w:val="E8543A"/>
          <w:sz w:val="19"/>
          <w:szCs w:val="19"/>
        </w:rPr>
        <w:t xml:space="preserve">Typical timing: Week -10 to Week -6   |   Phase progress: 90% — On Track</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Prepare Clinical Trial Application (CTA) / IND package per applicable region</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Single CTIS package prepared for all 3 countries</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Submit CTA to national competent authority in each participating country</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Submitted via CTIS 6 Jul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Submit protocol, Investigator's Brochure, and ICF to central / lead IRB or Ethics Committee</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-9</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Submitted 9 Jul 2026</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Submit to local Ethics Committees at each site, where a local review is required</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Site / Regulatory Affairs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-9 to -8</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All 8 site-level EC submissions filed by 16 Jul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Track and respond to regulatory authority questions and clarification requests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Ongoing</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1 open query (Germany BfArM); response due Week -5 — see Risk R-01 (closed)</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Track and respond to IRB / EC questions; obtain conditional approvals where issued</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Ongoing</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Munich EC clarification request resolved without amendment — see Risk R-09</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17</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Obtain Regulatory Authority approval / no-objection letter per country</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-7</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ES, PL, DE all confirmed by 28 Jul 2026</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18</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Obtain final IRB / EC approval, including approved Informed Consent Form version</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-7</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Approved ICF v1.1 (ES/PL/DE translations) on file, eTMF §1.4</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19</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Register trial on ClinicalTrials.gov, EudraCT/CTIS, or applicable national registry</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-6</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CTIS registration number 2026-501234-10-00</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20</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import license and customs documentation for investigational product shipment</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 / Pharmacy</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-6</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Poland import license pending — see Risk R-06</w:t>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3: Site Identification &amp; Selection</w:t>
      </w:r>
    </w:p>
    <w:p>
      <w:pPr>
        <w:spacing w:after="140" w:before="0"/>
      </w:pPr>
      <w:r>
        <w:rPr>
          <w:rFonts w:ascii="Calibri" w:cs="Calibri" w:eastAsia="Calibri" w:hAnsi="Calibri"/>
          <w:i/>
          <w:iCs/>
          <w:color w:val="E8543A"/>
          <w:sz w:val="19"/>
          <w:szCs w:val="19"/>
        </w:rPr>
        <w:t xml:space="preserve">Typical timing: Week -12 to Week -8   |   Phase progress: 100% — Complete</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Distribute Country and Site Feasibility Questionnaire to candidate sites (Toolkit Component 2)</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Feasibility Team</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-12</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9 candidate sites surveyed</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pre-study site visits or structured feasibility calls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 / Feasibility Team</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All 9 candidate sites visited or called 18–26 Jun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Score and rank candidate sites using the weighted Site Selection Scorecard (Toolkit Component 3)</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See completed Scorecard — Component 3</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Select primary sites and identify backup sites for each country / region</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 / Sponsor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8 sites selected; Gdańsk University Hospital (Poland) held as backup — Risk R-02</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Notify selected sites in writing and formally confirm participation</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-9</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Confirmation letters sent 1 Jul 2026</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each site's IRB/EC submission pathway and realistic approval timeline</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-9</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27</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 has demonstrated access to the target patient population (historical data)</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Feasibility Team</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-9</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28</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 has adequate staffing, delegated authority coverage, space, and equipment</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-8</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4: Contracts &amp; Budget</w:t>
      </w:r>
    </w:p>
    <w:p>
      <w:pPr>
        <w:spacing w:after="140" w:before="0"/>
      </w:pPr>
      <w:r>
        <w:rPr>
          <w:rFonts w:ascii="Calibri" w:cs="Calibri" w:eastAsia="Calibri" w:hAnsi="Calibri"/>
          <w:i/>
          <w:iCs/>
          <w:color w:val="E8543A"/>
          <w:sz w:val="19"/>
          <w:szCs w:val="19"/>
        </w:rPr>
        <w:t xml:space="preserve">Typical timing: Week -10 to Week -6   |   Phase progress: 100% — Complete</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29</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Execute Confidentiality Disclosure Agreement (CDA) with each candidate site</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Legal / Contracts</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All 9 sites, including backup</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30</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Draft Clinical Trial Agreement (CTA) / Site Agreement from the master template</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Legal / Contracts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Negotiate site budget, per-patient payment, and overhead items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 / Finance</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-9</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Germany counter-proposal resolved — see Risk R-04 (closed 25 Jul 2026)</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Execute Clinical Trial Agreement with each participating site</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Legal / Contracts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-8</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8/8 sites executed by 25 Jul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Execute contracts with third-party vendors (central lab, IRT, imaging, translation)</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Procurement / Vendor Mgmt</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-8</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See Vendor Onboarding Checklist — Component 9</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clinical trial insurance and indemnification coverage is in place per country</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Legal / Contracts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-7</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Poland certificate delay resolved — see Risk R-03</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site payment mechanism and link to the study Budget &amp; Payment Milestone Tracker</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Finance</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-6</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5: Essential Document Collection (TMF)</w:t>
      </w:r>
    </w:p>
    <w:p>
      <w:pPr>
        <w:spacing w:after="140" w:before="0"/>
      </w:pPr>
      <w:r>
        <w:rPr>
          <w:rFonts w:ascii="Calibri" w:cs="Calibri" w:eastAsia="Calibri" w:hAnsi="Calibri"/>
          <w:i/>
          <w:iCs/>
          <w:color w:val="E8543A"/>
          <w:sz w:val="19"/>
          <w:szCs w:val="19"/>
        </w:rPr>
        <w:t xml:space="preserve">Typical timing: Week -8 to Week -4   |   Phase progress: 78% — In Progress, on track for Week -4</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Distribute Essential Document Checklist to each site (Toolkit Component 5)</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-8</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37</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signed protocol, protocol amendments, and signature page</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-7</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38</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fully executed Clinical Trial Agreement and financial disclosure forms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-7</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39</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current CVs, medical licenses, and GCP certificates for PI and sub-investigators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-6</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PL-03 GCP recertification completed — see Risk R-05</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40</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IRB/EC approval letters, approved ICF, and approved recruitment materials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-6</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laboratory certifications, accreditations, and normal reference ranges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-5</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PanEuro final QC pending for DE sites</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signed delegation of authority log and 1572 / Investigator Agreement (where applicable)</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-5</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6/8 sites filed</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100% of essential documents filed in the Trial Master File prior to activation</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 / TMF Lead</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-4</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TMF ~78% filed overall — see Essential Document Checklist, Component 5</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Complete quality-control review of TMF completeness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QA / TMF Lead</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-4</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Scheduled to begin Week -4</w:t>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6: Site Activation</w:t>
      </w:r>
    </w:p>
    <w:p>
      <w:pPr>
        <w:spacing w:after="140" w:before="0"/>
      </w:pPr>
      <w:r>
        <w:rPr>
          <w:rFonts w:ascii="Calibri" w:cs="Calibri" w:eastAsia="Calibri" w:hAnsi="Calibri"/>
          <w:i/>
          <w:iCs/>
          <w:color w:val="E8543A"/>
          <w:sz w:val="19"/>
          <w:szCs w:val="19"/>
        </w:rPr>
        <w:t xml:space="preserve">Typical timing: Week -6 to Week -2   |   Phase progress: 25% — In Progress (2 of 8 sites activated)</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all activation criteria met: regulatory, contract, essential documents, training</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-4</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SP-01, SP-02 confirmed; remainder in progress</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Schedule and conduct Site Initiation Visit (SIV), in person or remote</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-3</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SP-01, SP-02, SP-03 completed; PL/DE sites scheduled through Week -2</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47</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Deliver protocol and Informed Consent Form training at the SIV</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 / Medical Monitor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-3</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3 of 8 sites trained</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48</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Deliver EDC / eCRF training and confirm site staff system access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Data Management / 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-3</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49</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Deliver IRT / RTSM training and confirm site staff system access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-3</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50</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investigational product shipment received, and storage conditions verified</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Site Pharmacist / 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-2</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SP-01, SP-02 received and verified</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investigational product accountability log initiated and reconciled at receipt</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Site Pharmacist</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-2</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 has access to safety reporting procedures, forms, and 24/7 contacts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 / Pharmacovigilance</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-2</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Distributed to all 8 sites</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site-specific source document templates finalized and distributed</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-2</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Issue formal site activation (“Green Light”) letter</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Issued for SP-01 (1 Aug) and SP-02 (1 Aug 2026); remaining 6 sites pending</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Update CTMS with site activation status, dates, and supporting documentation</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 / CTMS Admin</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7: Systems, Training &amp; Communication</w:t>
      </w:r>
    </w:p>
    <w:p>
      <w:pPr>
        <w:spacing w:after="140" w:before="0"/>
      </w:pPr>
      <w:r>
        <w:rPr>
          <w:rFonts w:ascii="Calibri" w:cs="Calibri" w:eastAsia="Calibri" w:hAnsi="Calibri"/>
          <w:i/>
          <w:iCs/>
          <w:color w:val="E8543A"/>
          <w:sz w:val="19"/>
          <w:szCs w:val="19"/>
        </w:rPr>
        <w:t xml:space="preserve">Typical timing: Week -8 to Week 0   |   Phase progress: 60% — In Progress</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and distribute the study Communication Plan to all stakeholders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-8</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57</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study team distribution lists, meeting cadence, and escalation contacts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-8</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Weekly status report cadence: every Friday</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58</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internal study team kickoff meeting</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-7</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Held 1 Jul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59</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investigator meeting (in person or virtual) covering protocol and procedures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Medical Monitor / 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-5</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Virtual IM held 22 Jul 2026, 8/8 sites attended</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60</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Distribute the Monitoring Plan to all assigned CRAs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Clinical Operations Lead</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-5</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CTMS study record, milestones, and site tracking fields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CTMS Admin</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-6</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Trial Master File structure (eTMF or physical) per the reference filing model</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TMF Lead</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-6</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pharmacovigilance / SAE reporting workflow is documented and tested end-to-end</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Pharmacovigilance</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-4</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5"/>
                <w:szCs w:val="15"/>
              </w:rPr>
              <w:t xml:space="preserve">In Progress</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End-to-end test scheduled Week -5</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all study team members have completed protocol-specific training with documentation on file</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-2</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Tracking against SIV schedule</w:t>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8: Recruitment Readiness</w:t>
      </w:r>
    </w:p>
    <w:p>
      <w:pPr>
        <w:spacing w:after="140" w:before="0"/>
      </w:pPr>
      <w:r>
        <w:rPr>
          <w:rFonts w:ascii="Calibri" w:cs="Calibri" w:eastAsia="Calibri" w:hAnsi="Calibri"/>
          <w:i/>
          <w:iCs/>
          <w:color w:val="E8543A"/>
          <w:sz w:val="19"/>
          <w:szCs w:val="19"/>
        </w:rPr>
        <w:t xml:space="preserve">Typical timing: Week -4 to Week 0   |   Phase progress: 0% — Not yet due (window opens Week -4)</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recruitment strategy, timeline, and patient-facing materials (Toolkit Component 10)</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 / Recruitment Lead</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-4</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See Recruitment Feasibility Template — Component 10</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recruitment materials formally approved by each IRB / EC</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-3</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67</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screening log and enrollment-tracking tools distributed to all sites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-2</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68</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Review informed consent process and documentation requirements with site staff</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-2</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69</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Re-validate patient recruitment feasibility with each site immediately post-activation</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bl>
    <w:p>
      <w:pPr>
        <w:spacing w:after="160" w:before="0"/>
      </w:pPr>
      <w:r>
        <w:rPr>
          <w:rFonts w:ascii="Calibri" w:cs="Calibri" w:eastAsia="Calibri" w:hAnsi="Calibri"/>
          <w:color w:val="3A3A3A"/>
          <w:sz w:val="21"/>
          <w:szCs w:val="21"/>
        </w:rPr>
        <w:t xml:space="preserve"/>
      </w:r>
    </w:p>
    <w:p>
      <w:r>
        <w:br w:type="page"/>
      </w:r>
    </w:p>
    <w:p>
      <w:pPr>
        <w:pStyle w:val="Heading2"/>
        <w:spacing w:after="120" w:before="260"/>
      </w:pPr>
      <w:r>
        <w:rPr>
          <w:rFonts w:ascii="Calibri" w:cs="Calibri" w:eastAsia="Calibri" w:hAnsi="Calibri"/>
          <w:b/>
          <w:bCs/>
          <w:color w:val="0B1F45"/>
          <w:sz w:val="24"/>
          <w:szCs w:val="24"/>
        </w:rPr>
        <w:t xml:space="preserve">Phase 9: First Patient In / Final Readiness Review</w:t>
      </w:r>
    </w:p>
    <w:p>
      <w:pPr>
        <w:spacing w:after="140" w:before="0"/>
      </w:pPr>
      <w:r>
        <w:rPr>
          <w:rFonts w:ascii="Calibri" w:cs="Calibri" w:eastAsia="Calibri" w:hAnsi="Calibri"/>
          <w:i/>
          <w:iCs/>
          <w:color w:val="E8543A"/>
          <w:sz w:val="19"/>
          <w:szCs w:val="19"/>
        </w:rPr>
        <w:t xml:space="preserve">Typical timing: Week 0   |   Phase progress: 0% — Not yet due</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50"/>
        <w:gridCol w:w="3550"/>
        <w:gridCol w:w="1400"/>
        <w:gridCol w:w="1300"/>
        <w:gridCol w:w="1250"/>
        <w:gridCol w:w="2650"/>
      </w:tblGrid>
      <w:tr>
        <w:trPr>
          <w:tblHeader/>
        </w:trPr>
        <w:tc>
          <w:tcPr>
            <w:tcW w:type="dxa" w:w="4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5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2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65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70</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final readiness / Go-Live review meeting with full study team</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Scheduled 15 Sept 2026</w:t>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71</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all pre-activation action items across Phases 1–8 are closed</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0</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72</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Risk Register reviewed and mitigation plans in place for open risks (Toolkit Component 7)</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73</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RACI matrix distributed and acknowledged by all named parties (Toolkit Component 8)</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0</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74</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Formally authorize site(s) for subject enrollment</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Sponsor / 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75</w:t>
            </w:r>
          </w:p>
        </w:tc>
        <w:tc>
          <w:tcPr>
            <w:tcW w:type="dxa" w:w="35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Track and confirm date of First Patient In (FPI) / First Subject Enrolled</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CRA / Project Manager</w:t>
            </w:r>
          </w:p>
        </w:tc>
        <w:tc>
          <w:tcPr>
            <w:tcW w:type="dxa" w:w="1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0</w:t>
            </w:r>
          </w:p>
        </w:tc>
        <w:tc>
          <w:tcPr>
            <w:tcW w:type="dxa" w:w="12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9A9A9A"/>
                <w:sz w:val="15"/>
                <w:szCs w:val="15"/>
              </w:rPr>
              <w:t xml:space="preserve">Not Started</w:t>
            </w:r>
          </w:p>
        </w:tc>
        <w:tc>
          <w:tcPr>
            <w:tcW w:type="dxa" w:w="265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
            </w:r>
          </w:p>
        </w:tc>
      </w:tr>
      <w:tr>
        <w:tc>
          <w:tcPr>
            <w:tcW w:type="dxa" w:w="4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76</w:t>
            </w:r>
          </w:p>
        </w:tc>
        <w:tc>
          <w:tcPr>
            <w:tcW w:type="dxa" w:w="35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Schedule the first Weekly Status Report cycle (Toolkit Component 11)</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0</w:t>
            </w:r>
          </w:p>
        </w:tc>
        <w:tc>
          <w:tcPr>
            <w:tcW w:type="dxa" w:w="12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15"/>
                <w:szCs w:val="15"/>
              </w:rPr>
              <w:t xml:space="preserve">Complete</w:t>
            </w:r>
          </w:p>
        </w:tc>
        <w:tc>
          <w:tcPr>
            <w:tcW w:type="dxa" w:w="265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Cadence already running since Week -8 internal kickoff</w:t>
            </w:r>
          </w:p>
        </w:tc>
      </w:tr>
    </w:tbl>
    <w:p>
      <w:pPr>
        <w:spacing w:after="160" w:before="0"/>
      </w:pPr>
      <w:r>
        <w:rPr>
          <w:rFonts w:ascii="Calibri" w:cs="Calibri" w:eastAsia="Calibri" w:hAnsi="Calibri"/>
          <w:color w:val="3A3A3A"/>
          <w:sz w:val="21"/>
          <w:szCs w:val="21"/>
        </w:rPr>
        <w:t xml:space="preserve"/>
      </w:r>
    </w:p>
    <w:sectPr>
      <w:headerReference w:type="default" r:id="rId9"/>
      <w:footerReference w:type="default" r:id="rId10"/>
      <w:pgSz w:w="11906" w:h="16838" w:orient="portrait"/>
      <w:pgMar w:top="1000" w:right="900" w:bottom="10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CE3" w:sz="4" w:space="4"/>
      </w:pBdr>
      <w:tabs>
        <w:tab w:val="right" w:pos="9026"/>
      </w:tabs>
    </w:pPr>
    <w:r>
      <w:rPr>
        <w:rFonts w:ascii="Calibri" w:cs="Calibri" w:eastAsia="Calibri" w:hAnsi="Calibri"/>
        <w:color w:val="6B6B6B"/>
        <w:sz w:val="15"/>
        <w:szCs w:val="15"/>
      </w:rPr>
      <w:t xml:space="preserve">© Expert Clinical Trials — expertclinicaltrials.com — Licensed for internal use only</w:t>
    </w:r>
    <w:r>
      <w:rPr>
        <w:rFonts w:ascii="Calibri" w:cs="Calibri" w:eastAsia="Calibri" w:hAnsi="Calibri"/>
        <w:color w:val="6B6B6B"/>
        <w:sz w:val="15"/>
        <w:szCs w:val="15"/>
      </w:rPr>
      <w:t xml:space="preserve">	Page </w:t>
    </w:r>
    <w:r>
      <w:rPr>
        <w:rFonts w:ascii="Calibri" w:cs="Calibri" w:eastAsia="Calibri" w:hAnsi="Calibri"/>
        <w:color w:val="6B6B6B"/>
        <w:sz w:val="15"/>
        <w:szCs w:val="15"/>
      </w:rPr>
      <w:fldChar w:fldCharType="begin"/>
      <w:instrText xml:space="preserve">PAGE</w:instrText>
      <w:fldChar w:fldCharType="separate"/>
      <w:fldChar w:fldCharType="end"/>
    </w:r>
    <w:r>
      <w:rPr>
        <w:rFonts w:ascii="Calibri" w:cs="Calibri" w:eastAsia="Calibri" w:hAnsi="Calibri"/>
        <w:color w:val="6B6B6B"/>
        <w:sz w:val="15"/>
        <w:szCs w:val="15"/>
      </w:rPr>
      <w:t xml:space="preserve"> of </w:t>
    </w:r>
    <w:r>
      <w:rPr>
        <w:rFonts w:ascii="Calibri" w:cs="Calibri" w:eastAsia="Calibri" w:hAnsi="Calibri"/>
        <w:color w:val="6B6B6B"/>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CE3" w:sz="4" w:space="4"/>
      </w:pBdr>
      <w:tabs>
        <w:tab w:val="right" w:pos="9026"/>
      </w:tabs>
      <w:spacing w:after="40"/>
    </w:pPr>
    <w:r>
      <w:drawing>
        <wp:inline distT="0" distB="0" distL="0" distR="0">
          <wp:extent cx="152400" cy="152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152400" cy="152400"/>
                  </a:xfrm>
                  <a:prstGeom prst="rect">
                    <a:avLst/>
                  </a:prstGeom>
                </pic:spPr>
              </pic:pic>
            </a:graphicData>
          </a:graphic>
        </wp:inline>
      </w:drawing>
    </w:r>
    <w:r>
      <w:rPr>
        <w:rFonts w:ascii="Calibri" w:cs="Calibri" w:eastAsia="Calibri" w:hAnsi="Calibri"/>
        <w:b/>
        <w:bCs/>
        <w:color w:val="0B1F45"/>
        <w:sz w:val="16"/>
        <w:szCs w:val="16"/>
      </w:rPr>
      <w:t xml:space="preserve">  Filled-In Example Set — ORACLE-2</w:t>
    </w:r>
    <w:r>
      <w:rPr>
        <w:rFonts w:ascii="Calibri" w:cs="Calibri" w:eastAsia="Calibri" w:hAnsi="Calibri"/>
        <w:color w:val="6B6B6B"/>
        <w:sz w:val="16"/>
        <w:szCs w:val="16"/>
      </w:rPr>
      <w:t xml:space="preserve">	Study Start-Up Checklist (Completed)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A3A3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image" Target="media/371fdfb75e5df52fb846262b8af26617b5a28a51.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Relationship Id="rId0" Type="http://schemas.openxmlformats.org/officeDocument/2006/relationships/image" Target="media/38b3cc415ffebf84d2bd91bfeb69b6a9ce335040.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2026-08-03T13:22:02.524Z</dcterms:created>
  <dcterms:modified xsi:type="dcterms:W3CDTF">2026-08-03T13:22:02.524Z</dcterms:modified>
</cp:coreProperties>
</file>

<file path=docProps/custom.xml><?xml version="1.0" encoding="utf-8"?>
<Properties xmlns="http://schemas.openxmlformats.org/officeDocument/2006/custom-properties" xmlns:vt="http://schemas.openxmlformats.org/officeDocument/2006/docPropsVTypes"/>
</file>