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wordprocessingml.header+xml" PartName="/word/header2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1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906"/>
      </w:tblGrid>
      <w:tr>
        <w:trPr>
          <w:trHeight w:val="16838" w:hRule="atLeast"/>
        </w:trPr>
        <w:tc>
          <w:tcPr>
            <w:tcW w:type="dxa" w:w="119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B1F45" w:color="auto" w:val="clear"/>
            <w:tcMar>
              <w:top w:type="dxa" w:w="1800"/>
              <w:left w:type="dxa" w:w="1000"/>
              <w:bottom w:type="dxa" w:w="1800"/>
              <w:right w:type="dxa" w:w="1000"/>
            </w:tcMar>
            <w:vAlign w:val="center"/>
          </w:tcPr>
          <w:p>
            <w:pPr>
              <w:spacing w:after="500"/>
              <w:jc w:val="left"/>
            </w:pPr>
            <w:r>
              <w:drawing>
                <wp:inline distT="0" distB="0" distL="0" distR="0">
                  <wp:extent cx="3409950" cy="74295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FFFFFF"/>
                <w:spacing w:val="10"/>
                <w:sz w:val="26"/>
                <w:szCs w:val="26"/>
              </w:rPr>
              <w:t xml:space="preserve">CLINICAL TRIAL START-UP TOOLKIT</w:t>
            </w:r>
          </w:p>
          <w:p>
            <w:pPr>
              <w:spacing w:after="4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54"/>
                <w:szCs w:val="54"/>
              </w:rPr>
              <w:t xml:space="preserve">Weekly Status Report Template</w:t>
            </w:r>
          </w:p>
          <w:p>
            <w:pPr>
              <w:spacing w:after="700"/>
            </w:pPr>
            <w:r>
              <w:rPr>
                <w:rFonts w:ascii="Calibri" w:cs="Calibri" w:eastAsia="Calibri" w:hAnsi="Calibri"/>
                <w:i/>
                <w:iCs/>
                <w:color w:val="C7CEE3"/>
                <w:sz w:val="22"/>
                <w:szCs w:val="22"/>
              </w:rPr>
              <w:t xml:space="preserve">Component 11 of 12 — Standardized Weekly Reporting Format for Sponsors &amp; Steering Committees</w:t>
            </w:r>
          </w:p>
          <w:p>
            <w:pPr>
              <w:pBdr>
                <w:top w:val="single" w:color="E8543A" w:sz="6" w:space="8"/>
              </w:pBdr>
              <w:spacing w:after="100"/>
            </w:pPr>
            <w:r>
              <w:rPr>
                <w:sz w:val="2"/>
                <w:szCs w:val="2"/>
              </w:rPr>
              <w:t xml:space="preserve"/>
            </w:r>
          </w:p>
          <w:p>
            <w:pPr>
              <w:spacing w:after="40" w:before="20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Sample Document — Prepared for Internal Review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9AA4C2"/>
                <w:sz w:val="18"/>
                <w:szCs w:val="18"/>
              </w:rPr>
              <w:t xml:space="preserve">Includes all 12 components — single-user license, not for redistribution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9AA4C2"/>
                <w:sz w:val="18"/>
                <w:szCs w:val="18"/>
              </w:rPr>
              <w:t xml:space="preserve">Version 1.0 — 3 August 2026</w:t>
            </w:r>
          </w:p>
          <w:p>
            <w:r>
              <w:rPr>
                <w:rFonts w:ascii="Calibri" w:cs="Calibri" w:eastAsia="Calibri" w:hAnsi="Calibri"/>
                <w:color w:val="9AA4C2"/>
                <w:sz w:val="18"/>
                <w:szCs w:val="18"/>
              </w:rPr>
              <w:t xml:space="preserve">expertclinicaltrials.com</w:t>
            </w:r>
          </w:p>
        </w:tc>
      </w:tr>
    </w:tbl>
    <w:p>
      <w:pPr>
        <w:sectPr>
          <w:headerReference w:type="default" r:id="rId7"/>
          <w:footerReference w:type="default" r:id="rId8"/>
          <w:pgSz w:w="11906" w:h="16838" w:orient="portrait"/>
          <w:pgMar w:top="0" w:right="0" w:bottom="0" w:left="0" w:header="0" w:footer="0" w:gutter="0"/>
          <w:pgNumType/>
          <w:docGrid w:linePitch="360"/>
        </w:sectPr>
      </w:pPr>
    </w:p>
    <w:p>
      <w:pPr>
        <w:pStyle w:val="Heading1"/>
        <w:pBdr>
          <w:bottom w:val="single" w:color="E8543A" w:sz="12" w:space="4"/>
        </w:pBdr>
        <w:spacing w:after="160" w:before="320"/>
      </w:pPr>
      <w:r>
        <w:rPr>
          <w:rFonts w:ascii="Calibri" w:cs="Calibri" w:eastAsia="Calibri" w:hAnsi="Calibri"/>
          <w:b/>
          <w:bCs/>
          <w:color w:val="0B1F45"/>
          <w:sz w:val="30"/>
          <w:szCs w:val="30"/>
        </w:rPr>
        <w:t xml:space="preserve">About This Toolkit Component</w:t>
      </w:r>
    </w:p>
    <w:p>
      <w:pPr>
        <w:spacing w:after="160" w:before="0"/>
      </w:pPr>
      <w:r>
        <w:rPr>
          <w:rFonts w:ascii="Calibri" w:cs="Calibri" w:eastAsia="Calibri" w:hAnsi="Calibri"/>
          <w:color w:val="3A3A3A"/>
          <w:sz w:val="21"/>
          <w:szCs w:val="21"/>
        </w:rPr>
        <w:t xml:space="preserve">This Weekly Status Report Template is Component 11 of the Clinical Trial Start-Up Toolkit. It gives the study team a single, consistent format for reporting start-up and enrollment progress to the sponsor, steering committee, or internal leadership on a weekly cadence — so every stakeholder sees the same picture, in the same order, every week.</w:t>
      </w:r>
    </w:p>
    <w:p>
      <w:pPr>
        <w:spacing w:after="200" w:before="0"/>
      </w:pPr>
      <w:r>
        <w:rPr>
          <w:rFonts w:ascii="Calibri" w:cs="Calibri" w:eastAsia="Calibri" w:hAnsi="Calibri"/>
          <w:color w:val="3A3A3A"/>
          <w:sz w:val="21"/>
          <w:szCs w:val="21"/>
        </w:rPr>
        <w:t xml:space="preserve">The template pulls together the outputs of the other components in this toolkit into one status snapshot: activation progress from the Site Activation Tracker (Component 4), enrollment projections from the Recruitment Feasibility Template (Component 10), open items from the Risk Register (Component 7), and near-term dates from the Start-Up Timeline (Component 6). Completing it should take a study manager 20–30 minutes once the underlying trackers are up to date.</w:t>
      </w:r>
    </w:p>
    <w:p>
      <w:pPr>
        <w:pStyle w:val="Heading2"/>
        <w:spacing w:after="60" w:before="300"/>
      </w:pPr>
      <w:r>
        <w:rPr>
          <w:rFonts w:ascii="Calibri" w:cs="Calibri" w:eastAsia="Calibri" w:hAnsi="Calibri"/>
          <w:b/>
          <w:bCs/>
          <w:color w:val="0B1F45"/>
          <w:sz w:val="24"/>
          <w:szCs w:val="24"/>
        </w:rPr>
        <w:t xml:space="preserve">Instructions for Use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3A3A3A"/>
          <w:sz w:val="20"/>
          <w:szCs w:val="20"/>
        </w:rPr>
        <w:t xml:space="preserve">Complete this report on the same day each week (e.g., every Friday) so the reporting cadence is predictable for recipients.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3A3A3A"/>
          <w:sz w:val="20"/>
          <w:szCs w:val="20"/>
        </w:rPr>
        <w:t xml:space="preserve">Pull figures directly from your Site Activation Tracker, Recruitment Feasibility Template, and Risk Register rather than re-estimating — the numbers should always reconcile.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3A3A3A"/>
          <w:sz w:val="20"/>
          <w:szCs w:val="20"/>
        </w:rPr>
        <w:t xml:space="preserve">Set the RAG (Red/Amber/Green) status for each work stream deliberately: Green = on track, no action needed; Amber = at risk, being actively managed; Red = off track, escalation or decision required.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3A3A3A"/>
          <w:sz w:val="20"/>
          <w:szCs w:val="20"/>
        </w:rPr>
        <w:t xml:space="preserve">Keep the Executive Summary to 3–5 bullet points. Detail belongs in the sections below, not the summary.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3A3A3A"/>
          <w:sz w:val="20"/>
          <w:szCs w:val="20"/>
        </w:rPr>
        <w:t xml:space="preserve">Carry forward open action items and risks week over week until they are closed — do not let items silently drop off the report.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3A3A3A"/>
          <w:sz w:val="20"/>
          <w:szCs w:val="20"/>
        </w:rPr>
        <w:t xml:space="preserve">Distribute the completed report to the standing distribution list within 24 hours of the reporting period closing.</w:t>
      </w:r>
    </w:p>
    <w:p>
      <w:pPr>
        <w:spacing w:after="200" w:before="0"/>
      </w:pPr>
      <w:r>
        <w:rPr>
          <w:rFonts w:ascii="Calibri" w:cs="Calibri" w:eastAsia="Calibri" w:hAnsi="Calibri"/>
          <w:color w:val="3A3A3A"/>
          <w:sz w:val="21"/>
          <w:szCs w:val="21"/>
        </w:rPr>
        <w:t xml:space="preserve"/>
      </w:r>
    </w:p>
    <w:p>
      <w:pPr>
        <w:pBdr>
          <w:top w:val="single" w:color="D9DCE3" w:sz="4"/>
          <w:bottom w:val="single" w:color="D9DCE3" w:sz="4"/>
          <w:left w:val="single" w:color="D9DCE3" w:sz="4"/>
          <w:right w:val="single" w:color="D9DCE3" w:sz="4"/>
        </w:pBdr>
        <w:shd w:fill="F3F4F7" w:color="auto" w:val="clear"/>
        <w:spacing w:after="200" w:before="100"/>
      </w:pPr>
      <w:r>
        <w:rPr>
          <w:rFonts w:ascii="Calibri" w:cs="Calibri" w:eastAsia="Calibri" w:hAnsi="Calibri"/>
          <w:b/>
          <w:bCs/>
          <w:color w:val="0B1F45"/>
          <w:sz w:val="19"/>
          <w:szCs w:val="19"/>
        </w:rPr>
        <w:t xml:space="preserve">Educational and operational resource notice:  </w:t>
      </w:r>
      <w:r>
        <w:rPr>
          <w:rFonts w:ascii="Calibri" w:cs="Calibri" w:eastAsia="Calibri" w:hAnsi="Calibri"/>
          <w:i/>
          <w:iCs/>
          <w:color w:val="3A3A3A"/>
          <w:sz w:val="19"/>
          <w:szCs w:val="19"/>
        </w:rPr>
        <w:t xml:space="preserve">This template is a professional starting framework based on common industry practice. It is not a substitute for your organization's own SOPs, sponsor-mandated reporting formats, or contractual reporting obligations, and does not constitute regulatory or legal advice. Adapt sections and thresholds to your study and governance structure.</w:t>
      </w:r>
    </w:p>
    <w:p>
      <w:r>
        <w:br w:type="page"/>
      </w:r>
    </w:p>
    <w:p>
      <w:pPr>
        <w:pStyle w:val="Heading1"/>
        <w:pBdr>
          <w:bottom w:val="single" w:color="E8543A" w:sz="12" w:space="4"/>
        </w:pBdr>
        <w:spacing w:after="160" w:before="320"/>
      </w:pPr>
      <w:r>
        <w:rPr>
          <w:rFonts w:ascii="Calibri" w:cs="Calibri" w:eastAsia="Calibri" w:hAnsi="Calibri"/>
          <w:b/>
          <w:bCs/>
          <w:color w:val="0B1F45"/>
          <w:sz w:val="30"/>
          <w:szCs w:val="30"/>
        </w:rPr>
        <w:t xml:space="preserve">Weekly Status Report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5400"/>
      </w:tblGrid>
      <w:tr>
        <w:trPr>
          <w:tblHeader/>
        </w:trPr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Question</w:t>
            </w:r>
          </w:p>
        </w:tc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Response</w:t>
            </w:r>
          </w:p>
        </w:tc>
      </w:tr>
      <w:tr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Protocol number / Study title</w:t>
            </w:r>
          </w:p>
        </w:tc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i/>
                <w:iCs/>
                <w:color w:val="9A9A9A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Sponsor / CRO</w:t>
            </w:r>
          </w:p>
        </w:tc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i/>
                <w:iCs/>
                <w:color w:val="9A9A9A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Reporting period (week of)</w:t>
            </w:r>
          </w:p>
        </w:tc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i/>
                <w:iCs/>
                <w:color w:val="9A9A9A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Report prepared by (name, role)</w:t>
            </w:r>
          </w:p>
        </w:tc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i/>
                <w:iCs/>
                <w:color w:val="9A9A9A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Distribution list</w:t>
            </w:r>
          </w:p>
        </w:tc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i/>
                <w:iCs/>
                <w:color w:val="9A9A9A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Overall Project Status</w:t>
            </w:r>
          </w:p>
        </w:tc>
        <w:tc>
          <w:tcPr>
            <w:tcW w:type="dxa" w:w="5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i/>
                <w:iCs/>
                <w:color w:val="9A9A9A"/>
                <w:sz w:val="17"/>
                <w:szCs w:val="17"/>
              </w:rPr>
              <w:t xml:space="preserve">Green ☐   Amber ☐   Red ☐</w:t>
            </w:r>
          </w:p>
        </w:tc>
      </w:tr>
    </w:tbl>
    <w:p>
      <w:pPr>
        <w:spacing w:after="240" w:before="0"/>
      </w:pPr>
      <w:r>
        <w:rPr>
          <w:rFonts w:ascii="Calibri" w:cs="Calibri" w:eastAsia="Calibri" w:hAnsi="Calibri"/>
          <w:color w:val="3A3A3A"/>
          <w:sz w:val="21"/>
          <w:szCs w:val="21"/>
        </w:rPr>
        <w:t xml:space="preserve"/>
      </w:r>
    </w:p>
    <w:p>
      <w:pPr>
        <w:pStyle w:val="Heading2"/>
        <w:spacing w:after="60" w:before="300"/>
      </w:pPr>
      <w:r>
        <w:rPr>
          <w:rFonts w:ascii="Calibri" w:cs="Calibri" w:eastAsia="Calibri" w:hAnsi="Calibri"/>
          <w:b/>
          <w:bCs/>
          <w:color w:val="0B1F45"/>
          <w:sz w:val="24"/>
          <w:szCs w:val="24"/>
        </w:rPr>
        <w:t xml:space="preserve">Section A: Executive Summary</w:t>
      </w:r>
    </w:p>
    <w:p>
      <w:pPr>
        <w:spacing w:after="140" w:before="0"/>
      </w:pP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3–5 bullet points capturing the most important developments this reporting period. Write for a reader who has not seen last week's report.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0B1F45"/>
          <w:sz w:val="20"/>
          <w:szCs w:val="20"/>
        </w:rPr>
        <w:t xml:space="preserve">Key highlight or milestone achieved this period —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0B1F45"/>
          <w:sz w:val="20"/>
          <w:szCs w:val="20"/>
        </w:rPr>
        <w:t xml:space="preserve">Key concern or risk requiring attention —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0B1F45"/>
          <w:sz w:val="20"/>
          <w:szCs w:val="20"/>
        </w:rPr>
        <w:t xml:space="preserve">Decision or input needed from sponsor / steering committee —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0B1F45"/>
          <w:sz w:val="20"/>
          <w:szCs w:val="20"/>
        </w:rPr>
        <w:t xml:space="preserve">Change from last week's status (what moved, and why) —</w:t>
      </w:r>
    </w:p>
    <w:p>
      <w:pPr>
        <w:spacing w:after="160" w:before="0"/>
      </w:pPr>
      <w:r>
        <w:rPr>
          <w:rFonts w:ascii="Calibri" w:cs="Calibri" w:eastAsia="Calibri" w:hAnsi="Calibri"/>
          <w:color w:val="3A3A3A"/>
          <w:sz w:val="21"/>
          <w:szCs w:val="21"/>
        </w:rPr>
        <w:t xml:space="preserve"/>
      </w:r>
    </w:p>
    <w:p>
      <w:pPr>
        <w:pStyle w:val="Heading2"/>
        <w:spacing w:after="60" w:before="300"/>
      </w:pPr>
      <w:r>
        <w:rPr>
          <w:rFonts w:ascii="Calibri" w:cs="Calibri" w:eastAsia="Calibri" w:hAnsi="Calibri"/>
          <w:b/>
          <w:bCs/>
          <w:color w:val="0B1F45"/>
          <w:sz w:val="24"/>
          <w:szCs w:val="24"/>
        </w:rPr>
        <w:t xml:space="preserve">Section B: RAG Status by Work Stream</w:t>
      </w:r>
    </w:p>
    <w:p>
      <w:pPr>
        <w:spacing w:after="140" w:before="0"/>
      </w:pP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Mark each work stream Green, Amber, or Red for both last week and this week so trend is visible at a glance.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1400"/>
        <w:gridCol w:w="1400"/>
        <w:gridCol w:w="1400"/>
        <w:gridCol w:w="4000"/>
      </w:tblGrid>
      <w:tr>
        <w:trPr>
          <w:tblHeader/>
        </w:trP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Work Stream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Last Week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This Week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Trend</w:t>
            </w:r>
          </w:p>
        </w:tc>
        <w:tc>
          <w:tcPr>
            <w:tcW w:type="dxa" w:w="4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Comments</w:t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Regulatory &amp; Ethics Approvals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4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Contracts &amp; Budget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4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Site Activation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4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Recruitment &amp; Enrollment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4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Vendors &amp; Third Parties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4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IP / Supply Chain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4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Systems &amp; Data (EDC / IRT)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4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</w:tbl>
    <w:p>
      <w:pPr>
        <w:spacing w:after="100" w:before="0"/>
      </w:pPr>
      <w:r>
        <w:rPr>
          <w:rFonts w:ascii="Calibri" w:cs="Calibri" w:eastAsia="Calibri" w:hAnsi="Calibri"/>
          <w:color w:val="3A3A3A"/>
          <w:sz w:val="21"/>
          <w:szCs w:val="21"/>
        </w:rPr>
        <w:t xml:space="preserve"/>
      </w:r>
    </w:p>
    <w:p>
      <w:pPr>
        <w:spacing w:after="40" w:before="0"/>
      </w:pPr>
      <w:r>
        <w:rPr>
          <w:rFonts w:ascii="Calibri" w:cs="Calibri" w:eastAsia="Calibri" w:hAnsi="Calibri"/>
          <w:b/>
          <w:bCs/>
          <w:color w:val="0B1F45"/>
          <w:sz w:val="18"/>
          <w:szCs w:val="18"/>
        </w:rPr>
        <w:t xml:space="preserve">RAG definitions:  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3A3A3A"/>
          <w:sz w:val="18"/>
          <w:szCs w:val="18"/>
        </w:rPr>
        <w:t xml:space="preserve">Green — on track against plan; no action needed.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3A3A3A"/>
          <w:sz w:val="18"/>
          <w:szCs w:val="18"/>
        </w:rPr>
        <w:t xml:space="preserve">Amber — at risk of slipping; actively being managed by the study team.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Calibri" w:cs="Calibri" w:eastAsia="Calibri" w:hAnsi="Calibri"/>
          <w:color w:val="3A3A3A"/>
          <w:sz w:val="18"/>
          <w:szCs w:val="18"/>
        </w:rPr>
        <w:t xml:space="preserve">Red — off track; requires escalation or a decision from sponsor / steering committee.</w:t>
      </w:r>
    </w:p>
    <w:p>
      <w:r>
        <w:br w:type="page"/>
      </w:r>
    </w:p>
    <w:p>
      <w:pPr>
        <w:pStyle w:val="Heading2"/>
        <w:spacing w:after="60" w:before="300"/>
      </w:pPr>
      <w:r>
        <w:rPr>
          <w:rFonts w:ascii="Calibri" w:cs="Calibri" w:eastAsia="Calibri" w:hAnsi="Calibri"/>
          <w:b/>
          <w:bCs/>
          <w:color w:val="0B1F45"/>
          <w:sz w:val="24"/>
          <w:szCs w:val="24"/>
        </w:rPr>
        <w:t xml:space="preserve">Section C: Site Activation &amp; Enrollment Status</w:t>
      </w:r>
    </w:p>
    <w:p>
      <w:pPr>
        <w:spacing w:after="140" w:before="0"/>
      </w:pP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Source these figures from the Site Activation Tracker (Component 4) and Recruitment Feasibility Template (Component 10).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1800"/>
        <w:gridCol w:w="1800"/>
        <w:gridCol w:w="1800"/>
        <w:gridCol w:w="1600"/>
      </w:tblGrid>
      <w:tr>
        <w:trPr>
          <w:tblHeader/>
        </w:trPr>
        <w:tc>
          <w:tcPr>
            <w:tcW w:type="dxa" w:w="3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Metric</w:t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This Week</w:t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Cumulative</w:t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Target</w:t>
            </w:r>
          </w:p>
        </w:tc>
        <w:tc>
          <w:tcPr>
            <w:tcW w:type="dxa" w:w="1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% of Target</w:t>
            </w:r>
          </w:p>
        </w:tc>
      </w:tr>
      <w:tr>
        <w:tc>
          <w:tcPr>
            <w:tcW w:type="dxa" w:w="3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Sites contracted</w:t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Sites with regulatory / EC approval</w:t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Sites activated (ready to enroll)</w:t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Subjects screened</w:t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Subjects screen-failed</w:t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3A3A3A"/>
                <w:sz w:val="18"/>
                <w:szCs w:val="18"/>
              </w:rPr>
              <w:t xml:space="preserve">Subjects enrolled / randomized</w:t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</w:tbl>
    <w:p>
      <w:pPr>
        <w:spacing w:after="160" w:before="0"/>
      </w:pPr>
      <w:r>
        <w:rPr>
          <w:rFonts w:ascii="Calibri" w:cs="Calibri" w:eastAsia="Calibri" w:hAnsi="Calibri"/>
          <w:color w:val="3A3A3A"/>
          <w:sz w:val="21"/>
          <w:szCs w:val="21"/>
        </w:rPr>
        <w:t xml:space="preserve"/>
      </w:r>
    </w:p>
    <w:p>
      <w:pPr>
        <w:spacing w:after="80" w:before="0"/>
      </w:pPr>
      <w:r>
        <w:rPr>
          <w:rFonts w:ascii="Calibri" w:cs="Calibri" w:eastAsia="Calibri" w:hAnsi="Calibri"/>
          <w:b/>
          <w:bCs/>
          <w:color w:val="0B1F45"/>
          <w:sz w:val="20"/>
          <w:szCs w:val="20"/>
        </w:rPr>
        <w:t xml:space="preserve">Site-by-Site Detail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2600"/>
        <w:gridCol w:w="2000"/>
        <w:gridCol w:w="2600"/>
      </w:tblGrid>
      <w:tr>
        <w:trPr>
          <w:tblHeader/>
        </w:trP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Site ID / Name</w:t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Activation Status</w:t>
            </w:r>
          </w:p>
        </w:tc>
        <w:tc>
          <w:tcPr>
            <w:tcW w:type="dxa" w:w="2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Subjects Enrolled</w:t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Issues / Notes</w:t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0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2"/>
        <w:spacing w:after="60" w:before="300"/>
      </w:pPr>
      <w:r>
        <w:rPr>
          <w:rFonts w:ascii="Calibri" w:cs="Calibri" w:eastAsia="Calibri" w:hAnsi="Calibri"/>
          <w:b/>
          <w:bCs/>
          <w:color w:val="0B1F45"/>
          <w:sz w:val="24"/>
          <w:szCs w:val="24"/>
        </w:rPr>
        <w:t xml:space="preserve">Section D: Key Risks &amp; Issues</w:t>
      </w:r>
    </w:p>
    <w:p>
      <w:pPr>
        <w:spacing w:after="140" w:before="0"/>
      </w:pP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Carry forward open items from the Risk Register (Component 7). Only new or materially changed items need commentary; do not duplicate the full register here.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1400"/>
        <w:gridCol w:w="1800"/>
        <w:gridCol w:w="2800"/>
        <w:gridCol w:w="1400"/>
      </w:tblGrid>
      <w:tr>
        <w:trPr>
          <w:tblHeader/>
        </w:trPr>
        <w:tc>
          <w:tcPr>
            <w:tcW w:type="dxa" w:w="3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Risk / Issue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Impact</w:t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Owner</w:t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Mitigation / Next Action</w:t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Status</w:t>
            </w:r>
          </w:p>
        </w:tc>
      </w:tr>
      <w:tr>
        <w:tc>
          <w:tcPr>
            <w:tcW w:type="dxa" w:w="3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</w:tbl>
    <w:p>
      <w:pPr>
        <w:spacing w:after="100" w:before="0"/>
      </w:pPr>
      <w:r>
        <w:rPr>
          <w:rFonts w:ascii="Calibri" w:cs="Calibri" w:eastAsia="Calibri" w:hAnsi="Calibri"/>
          <w:color w:val="3A3A3A"/>
          <w:sz w:val="21"/>
          <w:szCs w:val="21"/>
        </w:rPr>
        <w:t xml:space="preserve"/>
      </w:r>
    </w:p>
    <w:p>
      <w:pPr>
        <w:pStyle w:val="Heading2"/>
        <w:spacing w:after="60" w:before="300"/>
      </w:pPr>
      <w:r>
        <w:rPr>
          <w:rFonts w:ascii="Calibri" w:cs="Calibri" w:eastAsia="Calibri" w:hAnsi="Calibri"/>
          <w:b/>
          <w:bCs/>
          <w:color w:val="0B1F45"/>
          <w:sz w:val="24"/>
          <w:szCs w:val="24"/>
        </w:rPr>
        <w:t xml:space="preserve">Section E: Milestones &amp; Upcoming Activities</w:t>
      </w:r>
    </w:p>
    <w:p>
      <w:pPr>
        <w:spacing w:after="140" w:before="0"/>
      </w:pP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Pull planned dates from the Start-Up Timeline (Component 6). Include the next 2–3 upcoming milestones plus any just completed.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2200"/>
        <w:gridCol w:w="2200"/>
        <w:gridCol w:w="2800"/>
      </w:tblGrid>
      <w:tr>
        <w:trPr>
          <w:tblHeader/>
        </w:trP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Milestone</w:t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Planned Date</w:t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Status</w:t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Notes</w:t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2"/>
        <w:spacing w:after="60" w:before="300"/>
      </w:pPr>
      <w:r>
        <w:rPr>
          <w:rFonts w:ascii="Calibri" w:cs="Calibri" w:eastAsia="Calibri" w:hAnsi="Calibri"/>
          <w:b/>
          <w:bCs/>
          <w:color w:val="0B1F45"/>
          <w:sz w:val="24"/>
          <w:szCs w:val="24"/>
        </w:rPr>
        <w:t xml:space="preserve">Section F: Action Items &amp; Decisions Needed</w:t>
      </w:r>
    </w:p>
    <w:p>
      <w:pPr>
        <w:spacing w:after="140" w:before="0"/>
      </w:pP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Open items requiring someone's action, or a decision from the sponsor / steering committee, with a clear owner and due date.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2200"/>
        <w:gridCol w:w="1800"/>
        <w:gridCol w:w="2600"/>
      </w:tblGrid>
      <w:tr>
        <w:trPr>
          <w:tblHeader/>
        </w:trPr>
        <w:tc>
          <w:tcPr>
            <w:tcW w:type="dxa" w:w="4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Action Item / Decision Needed</w:t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Owner</w:t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Due Date</w:t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0B1F45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Status</w:t>
            </w:r>
          </w:p>
        </w:tc>
      </w:tr>
      <w:tr>
        <w:tc>
          <w:tcPr>
            <w:tcW w:type="dxa" w:w="4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tcBorders>
              <w:top w:val="single" w:color="D9DCE3" w:sz="4"/>
              <w:left w:val="single" w:color="D9DCE3" w:sz="4"/>
              <w:bottom w:val="single" w:color="D9DCE3" w:sz="4"/>
              <w:right w:val="single" w:color="D9DCE3" w:sz="4"/>
            </w:tcBorders>
            <w:shd w:fill="F3F4F7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A3A3A"/>
                <w:sz w:val="18"/>
                <w:szCs w:val="18"/>
              </w:rPr>
              <w:t xml:space="preserve"/>
            </w:r>
          </w:p>
        </w:tc>
      </w:tr>
    </w:tbl>
    <w:p>
      <w:pPr>
        <w:spacing w:after="240" w:before="0"/>
      </w:pPr>
      <w:r>
        <w:rPr>
          <w:rFonts w:ascii="Calibri" w:cs="Calibri" w:eastAsia="Calibri" w:hAnsi="Calibri"/>
          <w:color w:val="3A3A3A"/>
          <w:sz w:val="21"/>
          <w:szCs w:val="21"/>
        </w:rPr>
        <w:t xml:space="preserve"/>
      </w:r>
    </w:p>
    <w:p>
      <w:pPr>
        <w:pBdr>
          <w:top w:val="single" w:color="D9DCE3" w:sz="4"/>
          <w:bottom w:val="single" w:color="D9DCE3" w:sz="4"/>
          <w:left w:val="single" w:color="D9DCE3" w:sz="4"/>
          <w:right w:val="single" w:color="D9DCE3" w:sz="4"/>
        </w:pBdr>
        <w:shd w:fill="F3F4F7" w:color="auto" w:val="clear"/>
        <w:spacing w:after="200" w:before="100"/>
      </w:pPr>
      <w:r>
        <w:rPr>
          <w:rFonts w:ascii="Calibri" w:cs="Calibri" w:eastAsia="Calibri" w:hAnsi="Calibri"/>
          <w:b/>
          <w:bCs/>
          <w:color w:val="0B1F45"/>
          <w:sz w:val="19"/>
          <w:szCs w:val="19"/>
        </w:rPr>
        <w:t xml:space="preserve">Next report:  </w:t>
      </w:r>
      <w:r>
        <w:rPr>
          <w:rFonts w:ascii="Calibri" w:cs="Calibri" w:eastAsia="Calibri" w:hAnsi="Calibri"/>
          <w:i/>
          <w:iCs/>
          <w:color w:val="3A3A3A"/>
          <w:sz w:val="19"/>
          <w:szCs w:val="19"/>
        </w:rPr>
        <w:t xml:space="preserve">The next Weekly Status Report is due to the distribution list above on the same day next week. Any Red-rated work stream should be escalated immediately rather than held for the next scheduled report.</w:t>
      </w:r>
    </w:p>
    <w:sectPr>
      <w:headerReference w:type="default" r:id="rId9"/>
      <w:footerReference w:type="default" r:id="rId10"/>
      <w:pgSz w:w="11906" w:h="16838" w:orient="portrait"/>
      <w:pgMar w:top="1000" w:right="900" w:bottom="10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9DCE3" w:sz="4" w:space="4"/>
      </w:pBdr>
      <w:tabs>
        <w:tab w:val="right" w:pos="9026"/>
      </w:tabs>
    </w:pPr>
    <w:r>
      <w:rPr>
        <w:rFonts w:ascii="Calibri" w:cs="Calibri" w:eastAsia="Calibri" w:hAnsi="Calibri"/>
        <w:color w:val="6B6B6B"/>
        <w:sz w:val="15"/>
        <w:szCs w:val="15"/>
      </w:rPr>
      <w:t xml:space="preserve">© Expert Clinical Trials — expertclinicaltrials.com — Licensed for internal use only</w:t>
    </w:r>
    <w:r>
      <w:rPr>
        <w:rFonts w:ascii="Calibri" w:cs="Calibri" w:eastAsia="Calibri" w:hAnsi="Calibri"/>
        <w:color w:val="6B6B6B"/>
        <w:sz w:val="15"/>
        <w:szCs w:val="15"/>
      </w:rPr>
      <w:t xml:space="preserve">	Page </w:t>
    </w:r>
    <w:r>
      <w:rPr>
        <w:rFonts w:ascii="Calibri" w:cs="Calibri" w:eastAsia="Calibri" w:hAnsi="Calibri"/>
        <w:color w:val="6B6B6B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6B6B6B"/>
        <w:sz w:val="15"/>
        <w:szCs w:val="15"/>
      </w:rPr>
      <w:t xml:space="preserve"> of </w:t>
    </w:r>
    <w:r>
      <w:rPr>
        <w:rFonts w:ascii="Calibri" w:cs="Calibri" w:eastAsia="Calibri" w:hAnsi="Calibri"/>
        <w:color w:val="6B6B6B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9DCE3" w:sz="4" w:space="4"/>
      </w:pBdr>
      <w:tabs>
        <w:tab w:val="right" w:pos="9026"/>
      </w:tabs>
      <w:spacing w:after="40"/>
    </w:pPr>
    <w:r>
      <w:drawing>
        <wp:inline distT="0" distB="0" distL="0" distR="0">
          <wp:extent cx="152400" cy="152400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" cy="15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cs="Calibri" w:eastAsia="Calibri" w:hAnsi="Calibri"/>
        <w:b/>
        <w:bCs/>
        <w:color w:val="0B1F45"/>
        <w:sz w:val="16"/>
        <w:szCs w:val="16"/>
      </w:rPr>
      <w:t xml:space="preserve">  Clinical Trial Start-Up Toolkit</w:t>
    </w:r>
    <w:r>
      <w:rPr>
        <w:rFonts w:ascii="Calibri" w:cs="Calibri" w:eastAsia="Calibri" w:hAnsi="Calibri"/>
        <w:color w:val="6B6B6B"/>
        <w:sz w:val="16"/>
        <w:szCs w:val="16"/>
      </w:rPr>
      <w:t xml:space="preserve">	Weekly Status Report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A3A3A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image" Target="media/371fdfb75e5df52fb846262b8af26617b5a28a51.png"/><Relationship Id="rId12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><Relationship Id="rId0" Type="http://schemas.openxmlformats.org/officeDocument/2006/relationships/image" Target="media/38b3cc415ffebf84d2bd91bfeb69b6a9ce335040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2026-08-03T13:09:22.492Z</dcterms:created>
  <dcterms:modified xsi:type="dcterms:W3CDTF">2026-08-03T13:09:22.493Z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