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1906"/>
        <w:tblBorders>
          <w:top w:val="single" w:color="auto" w:sz="4"/>
          <w:left w:val="single" w:color="auto" w:sz="4"/>
          <w:bottom w:val="single" w:color="auto" w:sz="4"/>
          <w:right w:val="single" w:color="auto" w:sz="4"/>
          <w:insideH w:val="single" w:color="auto" w:sz="4"/>
          <w:insideV w:val="single" w:color="auto" w:sz="4"/>
        </w:tblBorders>
      </w:tblPr>
      <w:tblGrid>
        <w:gridCol w:w="11906"/>
      </w:tblGrid>
      <w:tr>
        <w:trPr>
          <w:trHeight w:val="16838" w:hRule="atLeast"/>
        </w:trPr>
        <w:tc>
          <w:tcPr>
            <w:tcW w:type="dxa" w:w="11906"/>
            <w:tcBorders>
              <w:top w:val="none" w:color="FFFFFF" w:sz="0"/>
              <w:left w:val="none" w:color="FFFFFF" w:sz="0"/>
              <w:bottom w:val="none" w:color="FFFFFF" w:sz="0"/>
              <w:right w:val="none" w:color="FFFFFF" w:sz="0"/>
            </w:tcBorders>
            <w:shd w:fill="0B1F45" w:color="auto" w:val="clear"/>
            <w:tcMar>
              <w:top w:type="dxa" w:w="1800"/>
              <w:left w:type="dxa" w:w="1000"/>
              <w:bottom w:type="dxa" w:w="1800"/>
              <w:right w:type="dxa" w:w="1000"/>
            </w:tcMar>
            <w:vAlign w:val="center"/>
          </w:tcPr>
          <w:p>
            <w:pPr>
              <w:spacing w:after="500"/>
              <w:jc w:val="left"/>
            </w:pPr>
            <w:r>
              <w:drawing>
                <wp:inline distT="0" distB="0" distL="0" distR="0">
                  <wp:extent cx="3409950" cy="7429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3409950" cy="742950"/>
                          </a:xfrm>
                          <a:prstGeom prst="rect">
                            <a:avLst/>
                          </a:prstGeom>
                        </pic:spPr>
                      </pic:pic>
                    </a:graphicData>
                  </a:graphic>
                </wp:inline>
              </w:drawing>
            </w:r>
          </w:p>
          <w:p>
            <w:pPr>
              <w:spacing w:after="100"/>
              <w:jc w:val="left"/>
            </w:pPr>
            <w:r>
              <w:rPr>
                <w:rFonts w:ascii="Calibri" w:cs="Calibri" w:eastAsia="Calibri" w:hAnsi="Calibri"/>
                <w:b/>
                <w:bCs/>
                <w:color w:val="FFFFFF"/>
                <w:spacing w:val="10"/>
                <w:sz w:val="26"/>
                <w:szCs w:val="26"/>
              </w:rPr>
              <w:t xml:space="preserve">CLINICAL TRIAL START-UP TOOLKIT</w:t>
            </w:r>
          </w:p>
          <w:p>
            <w:pPr>
              <w:spacing w:after="40"/>
              <w:jc w:val="left"/>
            </w:pPr>
            <w:r>
              <w:rPr>
                <w:rFonts w:ascii="Calibri" w:cs="Calibri" w:eastAsia="Calibri" w:hAnsi="Calibri"/>
                <w:b/>
                <w:bCs/>
                <w:color w:val="FFFFFF"/>
                <w:sz w:val="64"/>
                <w:szCs w:val="64"/>
              </w:rPr>
              <w:t xml:space="preserve">Study Start-Up Checklist</w:t>
            </w:r>
          </w:p>
          <w:p>
            <w:pPr>
              <w:spacing w:after="700"/>
              <w:jc w:val="left"/>
            </w:pPr>
            <w:r>
              <w:rPr>
                <w:rFonts w:ascii="Calibri" w:cs="Calibri" w:eastAsia="Calibri" w:hAnsi="Calibri"/>
                <w:i/>
                <w:iCs/>
                <w:color w:val="C7CEE3"/>
                <w:sz w:val="22"/>
                <w:szCs w:val="22"/>
              </w:rPr>
              <w:t xml:space="preserve">Component 1 of 12 — Master Activation Checklist, 76 Action Items Across 9 Start-Up Phases</w:t>
            </w:r>
          </w:p>
          <w:p>
            <w:pPr>
              <w:pBdr>
                <w:top w:val="single" w:color="E8543A" w:sz="6" w:space="8"/>
              </w:pBdr>
              <w:spacing w:after="100"/>
              <w:jc w:val="left"/>
            </w:pPr>
            <w:r>
              <w:rPr>
                <w:sz w:val="2"/>
                <w:szCs w:val="2"/>
              </w:rPr>
              <w:t xml:space="preserve"/>
            </w:r>
          </w:p>
          <w:p>
            <w:pPr>
              <w:spacing w:after="40" w:before="200"/>
              <w:jc w:val="left"/>
            </w:pPr>
            <w:r>
              <w:rPr>
                <w:rFonts w:ascii="Calibri" w:cs="Calibri" w:eastAsia="Calibri" w:hAnsi="Calibri"/>
                <w:b/>
                <w:bCs/>
                <w:color w:val="FFFFFF"/>
                <w:sz w:val="20"/>
                <w:szCs w:val="20"/>
              </w:rPr>
              <w:t xml:space="preserve">Sample Document — Prepared for Internal Review</w:t>
            </w:r>
          </w:p>
          <w:p>
            <w:pPr>
              <w:spacing w:after="20"/>
              <w:jc w:val="left"/>
            </w:pPr>
            <w:r>
              <w:rPr>
                <w:rFonts w:ascii="Calibri" w:cs="Calibri" w:eastAsia="Calibri" w:hAnsi="Calibri"/>
                <w:color w:val="9AA4C2"/>
                <w:sz w:val="18"/>
                <w:szCs w:val="18"/>
              </w:rPr>
              <w:t xml:space="preserve">Includes all 12 components — single-user license, not for redistribution</w:t>
            </w:r>
          </w:p>
          <w:p>
            <w:pPr>
              <w:spacing w:after="20"/>
              <w:jc w:val="left"/>
            </w:pPr>
            <w:r>
              <w:rPr>
                <w:rFonts w:ascii="Calibri" w:cs="Calibri" w:eastAsia="Calibri" w:hAnsi="Calibri"/>
                <w:color w:val="9AA4C2"/>
                <w:sz w:val="18"/>
                <w:szCs w:val="18"/>
              </w:rPr>
              <w:t xml:space="preserve">Version 1.0 — 3 August 2026</w:t>
            </w:r>
          </w:p>
          <w:p>
            <w:pPr>
              <w:jc w:val="left"/>
            </w:pPr>
            <w:r>
              <w:rPr>
                <w:rFonts w:ascii="Calibri" w:cs="Calibri" w:eastAsia="Calibri" w:hAnsi="Calibri"/>
                <w:color w:val="9AA4C2"/>
                <w:sz w:val="18"/>
                <w:szCs w:val="18"/>
              </w:rPr>
              <w:t xml:space="preserve">expertclinicaltrials.com</w:t>
            </w:r>
          </w:p>
        </w:tc>
      </w:tr>
    </w:tbl>
    <w:p>
      <w:pPr>
        <w:sectPr>
          <w:headerReference w:type="default" r:id="rId7"/>
          <w:footerReference w:type="default" r:id="rId8"/>
          <w:pgSz w:w="11906" w:h="16838" w:orient="portrait"/>
          <w:pgMar w:top="0" w:right="0" w:bottom="0" w:left="0" w:header="0" w:footer="0" w:gutter="0"/>
          <w:pgNumType/>
          <w:docGrid w:linePitch="360"/>
        </w:sectPr>
      </w:pPr>
    </w:p>
    <w:p>
      <w:pPr>
        <w:pStyle w:val="Heading1"/>
        <w:pBdr>
          <w:bottom w:val="single" w:color="E8543A" w:sz="12" w:space="4"/>
        </w:pBdr>
        <w:spacing w:after="160" w:before="320"/>
      </w:pPr>
      <w:r>
        <w:rPr>
          <w:rFonts w:ascii="Calibri" w:cs="Calibri" w:eastAsia="Calibri" w:hAnsi="Calibri"/>
          <w:b/>
          <w:bCs/>
          <w:color w:val="0B1F45"/>
          <w:sz w:val="30"/>
          <w:szCs w:val="30"/>
        </w:rPr>
        <w:t xml:space="preserve">About This Toolkit Component</w:t>
      </w:r>
    </w:p>
    <w:p>
      <w:pPr>
        <w:spacing w:after="160" w:before="0"/>
      </w:pPr>
      <w:r>
        <w:rPr>
          <w:rFonts w:ascii="Calibri" w:cs="Calibri" w:eastAsia="Calibri" w:hAnsi="Calibri"/>
          <w:color w:val="3A3A3A"/>
          <w:sz w:val="21"/>
          <w:szCs w:val="21"/>
        </w:rPr>
        <w:t xml:space="preserve">This Study Start-Up Checklist is Component 1 of the Clinical Trial Start-Up Toolkit, a 12-part system designed to take a clinical trial from protocol finalization to First Patient In (FPI) with a documented, auditable trail at every step. It is built for sponsors, CROs, and independent clinical operations teams who need a single, comprehensive reference that reflects how start-up actually runs across regulatory, contracts, site management, and TMF workstreams simultaneously — not a generic project checklist adapted from another industry.</w:t>
      </w:r>
    </w:p>
    <w:p>
      <w:pPr>
        <w:spacing w:after="160" w:before="0"/>
      </w:pPr>
      <w:r>
        <w:rPr>
          <w:rFonts w:ascii="Calibri" w:cs="Calibri" w:eastAsia="Calibri" w:hAnsi="Calibri"/>
          <w:color w:val="3A3A3A"/>
          <w:sz w:val="21"/>
          <w:szCs w:val="21"/>
        </w:rPr>
        <w:t xml:space="preserve">The checklist contains 76 discrete action items organized into 9 sequential (and partially overlapping) phases, each with a recommended owner and a target timeframe expressed relative to site activation ("Week 0"). Timeframes are illustrative defaults based on typical Phase II/III multi-country trials; adjust them to your protocol complexity, therapeutic area, and country mix.</w:t>
      </w:r>
    </w:p>
    <w:p>
      <w:pPr>
        <w:spacing w:after="100" w:before="0"/>
      </w:pPr>
      <w:r>
        <w:rPr>
          <w:rFonts w:ascii="Calibri" w:cs="Calibri" w:eastAsia="Calibri" w:hAnsi="Calibri"/>
          <w:b/>
          <w:bCs/>
          <w:color w:val="0B1F45"/>
          <w:sz w:val="21"/>
          <w:szCs w:val="21"/>
        </w:rPr>
        <w:t xml:space="preserve">This document is one of 12 components in the full Clinical Trial Start-Up Toolkit:</w:t>
      </w:r>
    </w:p>
    <w:p>
      <w:pPr>
        <w:pStyle w:val="ListParagraph"/>
        <w:numPr>
          <w:ilvl w:val="0"/>
          <w:numId w:val="1"/>
        </w:numPr>
        <w:spacing w:after="90"/>
      </w:pPr>
      <w:r>
        <w:rPr>
          <w:rFonts w:ascii="Calibri" w:cs="Calibri" w:eastAsia="Calibri" w:hAnsi="Calibri"/>
          <w:color w:val="3A3A3A"/>
          <w:sz w:val="20"/>
          <w:szCs w:val="20"/>
        </w:rPr>
        <w:t xml:space="preserve">1. Study Start-Up Checklist — this document</w:t>
      </w:r>
    </w:p>
    <w:p>
      <w:pPr>
        <w:pStyle w:val="ListParagraph"/>
        <w:numPr>
          <w:ilvl w:val="0"/>
          <w:numId w:val="1"/>
        </w:numPr>
        <w:spacing w:after="90"/>
      </w:pPr>
      <w:r>
        <w:rPr>
          <w:rFonts w:ascii="Calibri" w:cs="Calibri" w:eastAsia="Calibri" w:hAnsi="Calibri"/>
          <w:color w:val="3A3A3A"/>
          <w:sz w:val="20"/>
          <w:szCs w:val="20"/>
        </w:rPr>
        <w:t xml:space="preserve">2. Country and Site Feasibility Questionnaire</w:t>
      </w:r>
    </w:p>
    <w:p>
      <w:pPr>
        <w:pStyle w:val="ListParagraph"/>
        <w:numPr>
          <w:ilvl w:val="0"/>
          <w:numId w:val="1"/>
        </w:numPr>
        <w:spacing w:after="90"/>
      </w:pPr>
      <w:r>
        <w:rPr>
          <w:rFonts w:ascii="Calibri" w:cs="Calibri" w:eastAsia="Calibri" w:hAnsi="Calibri"/>
          <w:color w:val="3A3A3A"/>
          <w:sz w:val="20"/>
          <w:szCs w:val="20"/>
        </w:rPr>
        <w:t xml:space="preserve">3. Site Selection Scorecard</w:t>
      </w:r>
    </w:p>
    <w:p>
      <w:pPr>
        <w:pStyle w:val="ListParagraph"/>
        <w:numPr>
          <w:ilvl w:val="0"/>
          <w:numId w:val="1"/>
        </w:numPr>
        <w:spacing w:after="90"/>
      </w:pPr>
      <w:r>
        <w:rPr>
          <w:rFonts w:ascii="Calibri" w:cs="Calibri" w:eastAsia="Calibri" w:hAnsi="Calibri"/>
          <w:color w:val="3A3A3A"/>
          <w:sz w:val="20"/>
          <w:szCs w:val="20"/>
        </w:rPr>
        <w:t xml:space="preserve">4. Site Activation Tracker</w:t>
      </w:r>
    </w:p>
    <w:p>
      <w:pPr>
        <w:pStyle w:val="ListParagraph"/>
        <w:numPr>
          <w:ilvl w:val="0"/>
          <w:numId w:val="1"/>
        </w:numPr>
        <w:spacing w:after="90"/>
      </w:pPr>
      <w:r>
        <w:rPr>
          <w:rFonts w:ascii="Calibri" w:cs="Calibri" w:eastAsia="Calibri" w:hAnsi="Calibri"/>
          <w:color w:val="3A3A3A"/>
          <w:sz w:val="20"/>
          <w:szCs w:val="20"/>
        </w:rPr>
        <w:t xml:space="preserve">5. Essential Document Checklist</w:t>
      </w:r>
    </w:p>
    <w:p>
      <w:pPr>
        <w:pStyle w:val="ListParagraph"/>
        <w:numPr>
          <w:ilvl w:val="0"/>
          <w:numId w:val="1"/>
        </w:numPr>
        <w:spacing w:after="90"/>
      </w:pPr>
      <w:r>
        <w:rPr>
          <w:rFonts w:ascii="Calibri" w:cs="Calibri" w:eastAsia="Calibri" w:hAnsi="Calibri"/>
          <w:color w:val="3A3A3A"/>
          <w:sz w:val="20"/>
          <w:szCs w:val="20"/>
        </w:rPr>
        <w:t xml:space="preserve">6. Start-Up Timeline (Gantt-style planner)</w:t>
      </w:r>
    </w:p>
    <w:p>
      <w:pPr>
        <w:pStyle w:val="ListParagraph"/>
        <w:numPr>
          <w:ilvl w:val="0"/>
          <w:numId w:val="1"/>
        </w:numPr>
        <w:spacing w:after="90"/>
      </w:pPr>
      <w:r>
        <w:rPr>
          <w:rFonts w:ascii="Calibri" w:cs="Calibri" w:eastAsia="Calibri" w:hAnsi="Calibri"/>
          <w:color w:val="3A3A3A"/>
          <w:sz w:val="20"/>
          <w:szCs w:val="20"/>
        </w:rPr>
        <w:t xml:space="preserve">7. Risk Register</w:t>
      </w:r>
    </w:p>
    <w:p>
      <w:pPr>
        <w:pStyle w:val="ListParagraph"/>
        <w:numPr>
          <w:ilvl w:val="0"/>
          <w:numId w:val="1"/>
        </w:numPr>
        <w:spacing w:after="90"/>
      </w:pPr>
      <w:r>
        <w:rPr>
          <w:rFonts w:ascii="Calibri" w:cs="Calibri" w:eastAsia="Calibri" w:hAnsi="Calibri"/>
          <w:color w:val="3A3A3A"/>
          <w:sz w:val="20"/>
          <w:szCs w:val="20"/>
        </w:rPr>
        <w:t xml:space="preserve">8. RACI Matrix</w:t>
      </w:r>
    </w:p>
    <w:p>
      <w:pPr>
        <w:pStyle w:val="ListParagraph"/>
        <w:numPr>
          <w:ilvl w:val="0"/>
          <w:numId w:val="1"/>
        </w:numPr>
        <w:spacing w:after="90"/>
      </w:pPr>
      <w:r>
        <w:rPr>
          <w:rFonts w:ascii="Calibri" w:cs="Calibri" w:eastAsia="Calibri" w:hAnsi="Calibri"/>
          <w:color w:val="3A3A3A"/>
          <w:sz w:val="20"/>
          <w:szCs w:val="20"/>
        </w:rPr>
        <w:t xml:space="preserve">9. Vendor Onboarding Checklist</w:t>
      </w:r>
    </w:p>
    <w:p>
      <w:pPr>
        <w:pStyle w:val="ListParagraph"/>
        <w:numPr>
          <w:ilvl w:val="0"/>
          <w:numId w:val="1"/>
        </w:numPr>
        <w:spacing w:after="90"/>
      </w:pPr>
      <w:r>
        <w:rPr>
          <w:rFonts w:ascii="Calibri" w:cs="Calibri" w:eastAsia="Calibri" w:hAnsi="Calibri"/>
          <w:color w:val="3A3A3A"/>
          <w:sz w:val="20"/>
          <w:szCs w:val="20"/>
        </w:rPr>
        <w:t xml:space="preserve">10. Recruitment Feasibility Template</w:t>
      </w:r>
    </w:p>
    <w:p>
      <w:pPr>
        <w:pStyle w:val="ListParagraph"/>
        <w:numPr>
          <w:ilvl w:val="0"/>
          <w:numId w:val="1"/>
        </w:numPr>
        <w:spacing w:after="90"/>
      </w:pPr>
      <w:r>
        <w:rPr>
          <w:rFonts w:ascii="Calibri" w:cs="Calibri" w:eastAsia="Calibri" w:hAnsi="Calibri"/>
          <w:color w:val="3A3A3A"/>
          <w:sz w:val="20"/>
          <w:szCs w:val="20"/>
        </w:rPr>
        <w:t xml:space="preserve">11. Weekly Status Report Template</w:t>
      </w:r>
    </w:p>
    <w:p>
      <w:pPr>
        <w:pStyle w:val="ListParagraph"/>
        <w:numPr>
          <w:ilvl w:val="0"/>
          <w:numId w:val="1"/>
        </w:numPr>
        <w:spacing w:after="90"/>
      </w:pPr>
      <w:r>
        <w:rPr>
          <w:rFonts w:ascii="Calibri" w:cs="Calibri" w:eastAsia="Calibri" w:hAnsi="Calibri"/>
          <w:color w:val="3A3A3A"/>
          <w:sz w:val="20"/>
          <w:szCs w:val="20"/>
        </w:rPr>
        <w:t xml:space="preserve">12. Filled-In Example Set — a completed, realistic example of every document above</w:t>
      </w:r>
    </w:p>
    <w:p>
      <w:pPr>
        <w:spacing w:after="120" w:before="160"/>
      </w:pPr>
      <w:r>
        <w:rPr>
          <w:rFonts w:ascii="Calibri" w:cs="Calibri" w:eastAsia="Calibri" w:hAnsi="Calibri"/>
          <w:i/>
          <w:iCs/>
          <w:color w:val="6B6B6B"/>
          <w:sz w:val="19"/>
          <w:szCs w:val="19"/>
        </w:rPr>
        <w:t xml:space="preserve">Cross-references to these companion documents appear throughout this checklist in parentheses, e.g. “(Toolkit Component 3).” Where a component has not yet been delivered to you, treat the cross-reference as a placeholder for your own equivalent document.</w:t>
      </w:r>
    </w:p>
    <w:p>
      <w:pPr>
        <w:pStyle w:val="Heading1"/>
        <w:pBdr>
          <w:bottom w:val="single" w:color="E8543A" w:sz="12" w:space="4"/>
        </w:pBdr>
        <w:spacing w:after="160" w:before="320"/>
      </w:pPr>
      <w:r>
        <w:rPr>
          <w:rFonts w:ascii="Calibri" w:cs="Calibri" w:eastAsia="Calibri" w:hAnsi="Calibri"/>
          <w:b/>
          <w:bCs/>
          <w:color w:val="0B1F45"/>
          <w:sz w:val="30"/>
          <w:szCs w:val="30"/>
        </w:rPr>
        <w:t xml:space="preserve">How to Use This Checklist</w:t>
      </w:r>
    </w:p>
    <w:p>
      <w:pPr>
        <w:spacing w:after="100" w:before="180"/>
      </w:pPr>
      <w:r>
        <w:rPr>
          <w:rFonts w:ascii="Calibri" w:cs="Calibri" w:eastAsia="Calibri" w:hAnsi="Calibri"/>
          <w:b/>
          <w:bCs/>
          <w:color w:val="E8543A"/>
          <w:sz w:val="21"/>
          <w:szCs w:val="21"/>
        </w:rPr>
        <w:t xml:space="preserve">1. Assign owners before you start</w:t>
      </w:r>
    </w:p>
    <w:p>
      <w:pPr>
        <w:spacing w:after="140" w:before="0"/>
      </w:pPr>
      <w:r>
        <w:rPr>
          <w:rFonts w:ascii="Calibri" w:cs="Calibri" w:eastAsia="Calibri" w:hAnsi="Calibri"/>
          <w:color w:val="3A3A3A"/>
          <w:sz w:val="21"/>
          <w:szCs w:val="21"/>
        </w:rPr>
        <w:t xml:space="preserve">The Owner column lists a functional role, not a named individual. Before distributing this checklist to your study team, replace each role with the specific person accountable for that item, or maintain a role-to-name mapping in your Communication Plan.</w:t>
      </w:r>
    </w:p>
    <w:p>
      <w:pPr>
        <w:spacing w:after="100" w:before="180"/>
      </w:pPr>
      <w:r>
        <w:rPr>
          <w:rFonts w:ascii="Calibri" w:cs="Calibri" w:eastAsia="Calibri" w:hAnsi="Calibri"/>
          <w:b/>
          <w:bCs/>
          <w:color w:val="E8543A"/>
          <w:sz w:val="21"/>
          <w:szCs w:val="21"/>
        </w:rPr>
        <w:t xml:space="preserve">2. Adjust the timeframes to your study</w:t>
      </w:r>
    </w:p>
    <w:p>
      <w:pPr>
        <w:spacing w:after="140" w:before="0"/>
      </w:pPr>
      <w:r>
        <w:rPr>
          <w:rFonts w:ascii="Calibri" w:cs="Calibri" w:eastAsia="Calibri" w:hAnsi="Calibri"/>
          <w:color w:val="3A3A3A"/>
          <w:sz w:val="21"/>
          <w:szCs w:val="21"/>
        </w:rPr>
        <w:t xml:space="preserve">Target Timeframe is expressed as weeks relative to planned site activation (“Week 0”), with negative numbers indicating weeks before activation. These defaults assume a moderately complex multi-country Phase II/III trial with central IRB review; single-country studies or trials using local IRBs at every site will compress or extend individual phases. Update the column directly, or transpose the checklist into the companion Start-Up Timeline (Toolkit Component 6) for a calendar view.</w:t>
      </w:r>
    </w:p>
    <w:p>
      <w:pPr>
        <w:spacing w:after="100" w:before="180"/>
      </w:pPr>
      <w:r>
        <w:rPr>
          <w:rFonts w:ascii="Calibri" w:cs="Calibri" w:eastAsia="Calibri" w:hAnsi="Calibri"/>
          <w:b/>
          <w:bCs/>
          <w:color w:val="E8543A"/>
          <w:sz w:val="21"/>
          <w:szCs w:val="21"/>
        </w:rPr>
        <w:t xml:space="preserve">3. Track status consistently</w:t>
      </w:r>
    </w:p>
    <w:p>
      <w:pPr>
        <w:spacing w:after="100" w:before="0"/>
      </w:pPr>
      <w:r>
        <w:rPr>
          <w:rFonts w:ascii="Calibri" w:cs="Calibri" w:eastAsia="Calibri" w:hAnsi="Calibri"/>
          <w:color w:val="3A3A3A"/>
          <w:sz w:val="21"/>
          <w:szCs w:val="21"/>
        </w:rPr>
        <w:t xml:space="preserve">Each task includes a checkbox for simple binary tracking. For a more granular view, replace the checkbox with the status codes below, or use conditional formatting if you transfer this checklist into a spreadsheet or CTMS.</w:t>
      </w:r>
    </w:p>
    <w:tbl>
      <w:tblPr>
        <w:tblW w:type="dxa" w:w="9800"/>
        <w:tblBorders>
          <w:top w:val="single" w:color="auto" w:sz="4"/>
          <w:left w:val="single" w:color="auto" w:sz="4"/>
          <w:bottom w:val="single" w:color="auto" w:sz="4"/>
          <w:right w:val="single" w:color="auto" w:sz="4"/>
          <w:insideH w:val="single" w:color="auto" w:sz="4"/>
          <w:insideV w:val="single" w:color="auto" w:sz="4"/>
        </w:tblBorders>
      </w:tblPr>
      <w:tblGrid>
        <w:gridCol w:w="1800"/>
        <w:gridCol w:w="8000"/>
      </w:tblGrid>
      <w:tr>
        <w:trPr>
          <w:tblHeader/>
        </w:trPr>
        <w:tc>
          <w:tcPr>
            <w:tcW w:type="dxa" w:w="1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80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Definition</w:t>
            </w:r>
          </w:p>
        </w:tc>
      </w:tr>
      <w:tr>
        <w:tc>
          <w:tcPr>
            <w:tcW w:type="dxa" w:w="1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Not Started</w:t>
            </w:r>
          </w:p>
        </w:tc>
        <w:tc>
          <w:tcPr>
            <w:tcW w:type="dxa" w:w="8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No action has been taken on this item.</w:t>
            </w:r>
          </w:p>
        </w:tc>
      </w:tr>
      <w:tr>
        <w:tc>
          <w:tcPr>
            <w:tcW w:type="dxa" w:w="1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In Progress</w:t>
            </w:r>
          </w:p>
        </w:tc>
        <w:tc>
          <w:tcPr>
            <w:tcW w:type="dxa" w:w="8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Work is underway but not complete.</w:t>
            </w:r>
          </w:p>
        </w:tc>
      </w:tr>
      <w:tr>
        <w:tc>
          <w:tcPr>
            <w:tcW w:type="dxa" w:w="1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E8543A"/>
                <w:sz w:val="18"/>
                <w:szCs w:val="18"/>
              </w:rPr>
              <w:t xml:space="preserve">Blocked</w:t>
            </w:r>
          </w:p>
        </w:tc>
        <w:tc>
          <w:tcPr>
            <w:tcW w:type="dxa" w:w="8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Item cannot progress without external action. Escalate via the Risk Register (Toolkit Component 7) and note the blocker in the Notes column.</w:t>
            </w:r>
          </w:p>
        </w:tc>
      </w:tr>
      <w:tr>
        <w:tc>
          <w:tcPr>
            <w:tcW w:type="dxa" w:w="1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Complete</w:t>
            </w:r>
          </w:p>
        </w:tc>
        <w:tc>
          <w:tcPr>
            <w:tcW w:type="dxa" w:w="8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Item is finished and, where applicable, evidence is filed in the TMF.</w:t>
            </w:r>
          </w:p>
        </w:tc>
      </w:tr>
      <w:tr>
        <w:tc>
          <w:tcPr>
            <w:tcW w:type="dxa" w:w="1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N/A</w:t>
            </w:r>
          </w:p>
        </w:tc>
        <w:tc>
          <w:tcPr>
            <w:tcW w:type="dxa" w:w="8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Item does not apply to this study, country, or site — record the reason in Notes.</w:t>
            </w:r>
          </w:p>
        </w:tc>
      </w:tr>
    </w:tbl>
    <w:p>
      <w:pPr>
        <w:spacing w:after="160" w:before="0"/>
      </w:pPr>
      <w:r>
        <w:rPr>
          <w:rFonts w:ascii="Calibri" w:cs="Calibri" w:eastAsia="Calibri" w:hAnsi="Calibri"/>
          <w:color w:val="3A3A3A"/>
          <w:sz w:val="21"/>
          <w:szCs w:val="21"/>
        </w:rPr>
        <w:t xml:space="preserve"/>
      </w:r>
    </w:p>
    <w:p>
      <w:pPr>
        <w:spacing w:after="100" w:before="180"/>
      </w:pPr>
      <w:r>
        <w:rPr>
          <w:rFonts w:ascii="Calibri" w:cs="Calibri" w:eastAsia="Calibri" w:hAnsi="Calibri"/>
          <w:b/>
          <w:bCs/>
          <w:color w:val="E8543A"/>
          <w:sz w:val="21"/>
          <w:szCs w:val="21"/>
        </w:rPr>
        <w:t xml:space="preserve">4. Review it at a fixed cadence</w:t>
      </w:r>
    </w:p>
    <w:p>
      <w:pPr>
        <w:spacing w:after="140" w:before="0"/>
      </w:pPr>
      <w:r>
        <w:rPr>
          <w:rFonts w:ascii="Calibri" w:cs="Calibri" w:eastAsia="Calibri" w:hAnsi="Calibri"/>
          <w:color w:val="3A3A3A"/>
          <w:sz w:val="21"/>
          <w:szCs w:val="21"/>
        </w:rPr>
        <w:t xml:space="preserve">This checklist is designed to be a standing agenda item at your weekly study team meeting during start-up, and cross-referenced in the Weekly Status Report (Toolkit Component 11). We recommend a formal review at each phase boundary at minimum, with the full checklist walked line-by-line at the Final Readiness Review (Phase 9).</w:t>
      </w:r>
    </w:p>
    <w:p>
      <w:pPr>
        <w:spacing w:after="100" w:before="180"/>
      </w:pPr>
      <w:r>
        <w:rPr>
          <w:rFonts w:ascii="Calibri" w:cs="Calibri" w:eastAsia="Calibri" w:hAnsi="Calibri"/>
          <w:b/>
          <w:bCs/>
          <w:color w:val="E8543A"/>
          <w:sz w:val="21"/>
          <w:szCs w:val="21"/>
        </w:rPr>
        <w:t xml:space="preserve">5. Customize freely</w:t>
      </w:r>
    </w:p>
    <w:p>
      <w:pPr>
        <w:spacing w:after="200" w:before="0"/>
      </w:pPr>
      <w:r>
        <w:rPr>
          <w:rFonts w:ascii="Calibri" w:cs="Calibri" w:eastAsia="Calibri" w:hAnsi="Calibri"/>
          <w:color w:val="3A3A3A"/>
          <w:sz w:val="21"/>
          <w:szCs w:val="21"/>
        </w:rPr>
        <w:t xml:space="preserve">This is a working document, not a fixed form. Add, remove, split, or reorder items to match your organization's SOPs, therapeutic area, and regulatory environment. Rows specific to gene therapy, medical device, or investigator-initiated trials, for example, are not included by default and should be added from your own SOP library.</w:t>
      </w:r>
    </w:p>
    <w:p>
      <w:pPr>
        <w:pBdr>
          <w:top w:val="single" w:color="D9DCE3" w:sz="4"/>
          <w:bottom w:val="single" w:color="D9DCE3" w:sz="4"/>
          <w:left w:val="single" w:color="D9DCE3" w:sz="4"/>
          <w:right w:val="single" w:color="D9DCE3" w:sz="4"/>
        </w:pBdr>
        <w:shd w:fill="F3F4F7" w:color="auto" w:val="clear"/>
        <w:spacing w:after="300" w:before="100"/>
      </w:pPr>
      <w:r>
        <w:rPr>
          <w:rFonts w:ascii="Calibri" w:cs="Calibri" w:eastAsia="Calibri" w:hAnsi="Calibri"/>
          <w:b/>
          <w:bCs/>
          <w:color w:val="0B1F45"/>
          <w:sz w:val="19"/>
          <w:szCs w:val="19"/>
        </w:rPr>
        <w:t xml:space="preserve">Educational and operational resource notice:  </w:t>
      </w:r>
      <w:r>
        <w:rPr>
          <w:rFonts w:ascii="Calibri" w:cs="Calibri" w:eastAsia="Calibri" w:hAnsi="Calibri"/>
          <w:i/>
          <w:iCs/>
          <w:color w:val="3A3A3A"/>
          <w:sz w:val="19"/>
          <w:szCs w:val="19"/>
        </w:rPr>
        <w:t xml:space="preserve">This checklist is provided as a professional starting framework based on common industry practice. It is not a substitute for your organization's own SOPs, and it does not constitute regulatory or legal advice. Confirm every regulatory, ethical, and contractual requirement against current local legislation and your Quality Management System before use.</w:t>
      </w:r>
    </w:p>
    <w:p>
      <w:r>
        <w:br w:type="page"/>
      </w:r>
    </w:p>
    <w:p>
      <w:pPr>
        <w:pStyle w:val="Heading1"/>
        <w:pBdr>
          <w:bottom w:val="single" w:color="E8543A" w:sz="12" w:space="4"/>
        </w:pBdr>
        <w:spacing w:after="160" w:before="320"/>
      </w:pPr>
      <w:r>
        <w:rPr>
          <w:rFonts w:ascii="Calibri" w:cs="Calibri" w:eastAsia="Calibri" w:hAnsi="Calibri"/>
          <w:b/>
          <w:bCs/>
          <w:color w:val="0B1F45"/>
          <w:sz w:val="30"/>
          <w:szCs w:val="30"/>
        </w:rPr>
        <w:t xml:space="preserve">Master Start-Up Checklist</w:t>
      </w:r>
    </w:p>
    <w:p>
      <w:pPr>
        <w:spacing w:after="200" w:before="0"/>
      </w:pPr>
      <w:r>
        <w:rPr>
          <w:rFonts w:ascii="Calibri" w:cs="Calibri" w:eastAsia="Calibri" w:hAnsi="Calibri"/>
          <w:i/>
          <w:iCs/>
          <w:color w:val="6B6B6B"/>
          <w:sz w:val="21"/>
          <w:szCs w:val="21"/>
        </w:rPr>
        <w:t xml:space="preserve">76 action items across 9 phases, from protocol finalization to First Patient In.</w:t>
      </w:r>
    </w:p>
    <w:p>
      <w:pPr>
        <w:pStyle w:val="Heading2"/>
        <w:spacing w:after="120" w:before="260"/>
      </w:pPr>
      <w:r>
        <w:rPr>
          <w:rFonts w:ascii="Calibri" w:cs="Calibri" w:eastAsia="Calibri" w:hAnsi="Calibri"/>
          <w:b/>
          <w:bCs/>
          <w:color w:val="0B1F45"/>
          <w:sz w:val="24"/>
          <w:szCs w:val="24"/>
        </w:rPr>
        <w:t xml:space="preserve">Phase 1: Protocol &amp; Feasibility Finalization</w:t>
      </w:r>
    </w:p>
    <w:p>
      <w:pPr>
        <w:spacing w:after="80" w:before="0"/>
      </w:pPr>
      <w:r>
        <w:rPr>
          <w:rFonts w:ascii="Calibri" w:cs="Calibri" w:eastAsia="Calibri" w:hAnsi="Calibri"/>
          <w:i/>
          <w:iCs/>
          <w:color w:val="E8543A"/>
          <w:sz w:val="19"/>
          <w:szCs w:val="19"/>
        </w:rPr>
        <w:t xml:space="preserve">Typical timing: Week -12 to Week -10 (relative to site activation)</w:t>
      </w:r>
    </w:p>
    <w:p>
      <w:pPr>
        <w:spacing w:after="140" w:before="0"/>
      </w:pPr>
      <w:r>
        <w:rPr>
          <w:rFonts w:ascii="Calibri" w:cs="Calibri" w:eastAsia="Calibri" w:hAnsi="Calibri"/>
          <w:color w:val="3A3A3A"/>
          <w:sz w:val="21"/>
          <w:szCs w:val="21"/>
        </w:rPr>
        <w:t xml:space="preserve">Confirms the scientific and operational basis of the study is locked before any regulatory or site-facing activity begins. Skipping items in this phase is the single most common cause of downstream amendments and re-work.</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4300"/>
        <w:gridCol w:w="1500"/>
        <w:gridCol w:w="1500"/>
        <w:gridCol w:w="1100"/>
        <w:gridCol w:w="19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4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1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protocol synopsis and full protocol text; confirm version control and distribution list</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Sponsor / Medical Director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-12</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study design, primary/secondary endpoints, and Statistical Analysis Plan alignment with protocol</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Biostatistics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-12</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Complete country and site feasibility assessment (Toolkit Component 2 — Country &amp; Site Feasibility Questionnaire)</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Feasibility / Clin Ops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-12 to -11</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Define target enrollment number and per-country / per-site allocation</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-11</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final list of participating countries and regulatory pathway per country</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-11</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CRO / vendor operating model (full-service, functional service, or hybrid)</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Sponsor / Clin Ops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-11</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study budget, payment milestones, and site payment schedule template</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Finance / Project Manager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-10</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8</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data management platform, EDC vendor, and eCRF build timeline</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Data Management</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-10</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9</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central lab, imaging, and/or ECG vendor(s), if applicable to protocol</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-10</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10</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IRT / RTSM vendor, randomization method, and drug supply strategy</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 / Pharmacy</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-10</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pPr>
        <w:spacing w:after="160" w:before="0"/>
      </w:pPr>
      <w:r>
        <w:rPr>
          <w:rFonts w:ascii="Calibri" w:cs="Calibri" w:eastAsia="Calibri" w:hAnsi="Calibri"/>
          <w:color w:val="3A3A3A"/>
          <w:sz w:val="21"/>
          <w:szCs w:val="21"/>
        </w:rPr>
        <w:t xml:space="preserve"/>
      </w:r>
    </w:p>
    <w:p>
      <w:pPr>
        <w:pStyle w:val="Heading2"/>
        <w:spacing w:after="120" w:before="260"/>
      </w:pPr>
      <w:r>
        <w:rPr>
          <w:rFonts w:ascii="Calibri" w:cs="Calibri" w:eastAsia="Calibri" w:hAnsi="Calibri"/>
          <w:b/>
          <w:bCs/>
          <w:color w:val="0B1F45"/>
          <w:sz w:val="24"/>
          <w:szCs w:val="24"/>
        </w:rPr>
        <w:t xml:space="preserve">Phase 2: Regulatory &amp; Ethics Submissions</w:t>
      </w:r>
    </w:p>
    <w:p>
      <w:pPr>
        <w:spacing w:after="80" w:before="0"/>
      </w:pPr>
      <w:r>
        <w:rPr>
          <w:rFonts w:ascii="Calibri" w:cs="Calibri" w:eastAsia="Calibri" w:hAnsi="Calibri"/>
          <w:i/>
          <w:iCs/>
          <w:color w:val="E8543A"/>
          <w:sz w:val="19"/>
          <w:szCs w:val="19"/>
        </w:rPr>
        <w:t xml:space="preserve">Typical timing: Week -10 to Week -6</w:t>
      </w:r>
    </w:p>
    <w:p>
      <w:pPr>
        <w:spacing w:after="140" w:before="0"/>
      </w:pPr>
      <w:r>
        <w:rPr>
          <w:rFonts w:ascii="Calibri" w:cs="Calibri" w:eastAsia="Calibri" w:hAnsi="Calibri"/>
          <w:color w:val="3A3A3A"/>
          <w:sz w:val="21"/>
          <w:szCs w:val="21"/>
        </w:rPr>
        <w:t xml:space="preserve">Regulatory and ethics approval is almost always the longest pole in the start-up timeline. Track every submission and query on this checklist and cross-reference against the Start-Up Timeline (Toolkit Component 6) to catch slippage early.</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4300"/>
        <w:gridCol w:w="1500"/>
        <w:gridCol w:w="1500"/>
        <w:gridCol w:w="1100"/>
        <w:gridCol w:w="19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4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1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11</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Prepare Clinical Trial Application (CTA) / IND package per applicable region</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-10</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12</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Submit CTA to national competent authority in each participating country</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-10</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13</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Submit protocol, Investigator's Brochure, and ICF to central / lead IRB or Ethics Committee</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-9</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14</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Submit to local Ethics Committees at each site, where a local review is required</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Site / Regulatory Affairs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-9 to -8</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15</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Track and respond to regulatory authority questions and clarification requests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Ongoing</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Log in Risk Register if response &gt;10 business days</w:t>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16</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Track and respond to IRB / EC questions; obtain conditional approvals where issued</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Ongoing</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17</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Obtain Regulatory Authority approval / no-objection letter per country</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-7</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18</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Obtain final IRB / EC approval, including approved Informed Consent Form version</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-7</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19</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Register trial on ClinicalTrials.gov, EudraCT/CTIS, or applicable national registry</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-6</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20</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import license and customs documentation for investigational product shipment</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 / Pharmacy</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-6</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pPr>
        <w:spacing w:after="160" w:before="0"/>
      </w:pPr>
      <w:r>
        <w:rPr>
          <w:rFonts w:ascii="Calibri" w:cs="Calibri" w:eastAsia="Calibri" w:hAnsi="Calibri"/>
          <w:color w:val="3A3A3A"/>
          <w:sz w:val="21"/>
          <w:szCs w:val="21"/>
        </w:rPr>
        <w:t xml:space="preserve"/>
      </w:r>
    </w:p>
    <w:p>
      <w:pPr>
        <w:pStyle w:val="Heading2"/>
        <w:spacing w:after="120" w:before="260"/>
      </w:pPr>
      <w:r>
        <w:rPr>
          <w:rFonts w:ascii="Calibri" w:cs="Calibri" w:eastAsia="Calibri" w:hAnsi="Calibri"/>
          <w:b/>
          <w:bCs/>
          <w:color w:val="0B1F45"/>
          <w:sz w:val="24"/>
          <w:szCs w:val="24"/>
        </w:rPr>
        <w:t xml:space="preserve">Phase 3: Site Identification &amp; Selection</w:t>
      </w:r>
    </w:p>
    <w:p>
      <w:pPr>
        <w:spacing w:after="80" w:before="0"/>
      </w:pPr>
      <w:r>
        <w:rPr>
          <w:rFonts w:ascii="Calibri" w:cs="Calibri" w:eastAsia="Calibri" w:hAnsi="Calibri"/>
          <w:i/>
          <w:iCs/>
          <w:color w:val="E8543A"/>
          <w:sz w:val="19"/>
          <w:szCs w:val="19"/>
        </w:rPr>
        <w:t xml:space="preserve">Typical timing: Week -12 to Week -8 (runs in parallel with Phase 1–2)</w:t>
      </w:r>
    </w:p>
    <w:p>
      <w:pPr>
        <w:spacing w:after="140" w:before="0"/>
      </w:pPr>
      <w:r>
        <w:rPr>
          <w:rFonts w:ascii="Calibri" w:cs="Calibri" w:eastAsia="Calibri" w:hAnsi="Calibri"/>
          <w:color w:val="3A3A3A"/>
          <w:sz w:val="21"/>
          <w:szCs w:val="21"/>
        </w:rPr>
        <w:t xml:space="preserve">Site selection quality is the strongest predictor of on-time enrollment. Use the companion Site Selection Scorecard (Toolkit Component 3) to score every candidate site consistently before shortlisting.</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4300"/>
        <w:gridCol w:w="1500"/>
        <w:gridCol w:w="1500"/>
        <w:gridCol w:w="1100"/>
        <w:gridCol w:w="19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4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1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21</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Distribute Country and Site Feasibility Questionnaire to candidate sites (Toolkit Component 2)</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Feasibility Team</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-12</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22</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Conduct pre-study site visits or structured feasibility calls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 / Feasibility Team</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-11</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23</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Score and rank candidate sites using the weighted Site Selection Scorecard (Toolkit Component 3)</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-10</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24</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Select primary sites and identify backup sites for each country / region</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 / Sponsor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-10</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25</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Notify selected sites in writing and formally confirm participation</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-9</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26</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each site's IRB/EC submission pathway and realistic approval timeline</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-9</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27</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site has demonstrated access to the target patient population (historical data)</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Feasibility Team</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-9</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28</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site has adequate staffing, delegated authority coverage, space, and equipment</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-8</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pPr>
        <w:spacing w:after="160" w:before="0"/>
      </w:pPr>
      <w:r>
        <w:rPr>
          <w:rFonts w:ascii="Calibri" w:cs="Calibri" w:eastAsia="Calibri" w:hAnsi="Calibri"/>
          <w:color w:val="3A3A3A"/>
          <w:sz w:val="21"/>
          <w:szCs w:val="21"/>
        </w:rPr>
        <w:t xml:space="preserve"/>
      </w:r>
    </w:p>
    <w:p>
      <w:pPr>
        <w:pStyle w:val="Heading2"/>
        <w:spacing w:after="120" w:before="260"/>
      </w:pPr>
      <w:r>
        <w:rPr>
          <w:rFonts w:ascii="Calibri" w:cs="Calibri" w:eastAsia="Calibri" w:hAnsi="Calibri"/>
          <w:b/>
          <w:bCs/>
          <w:color w:val="0B1F45"/>
          <w:sz w:val="24"/>
          <w:szCs w:val="24"/>
        </w:rPr>
        <w:t xml:space="preserve">Phase 4: Contracts &amp; Budget</w:t>
      </w:r>
    </w:p>
    <w:p>
      <w:pPr>
        <w:spacing w:after="80" w:before="0"/>
      </w:pPr>
      <w:r>
        <w:rPr>
          <w:rFonts w:ascii="Calibri" w:cs="Calibri" w:eastAsia="Calibri" w:hAnsi="Calibri"/>
          <w:i/>
          <w:iCs/>
          <w:color w:val="E8543A"/>
          <w:sz w:val="19"/>
          <w:szCs w:val="19"/>
        </w:rPr>
        <w:t xml:space="preserve">Typical timing: Week -10 to Week -6</w:t>
      </w:r>
    </w:p>
    <w:p>
      <w:pPr>
        <w:spacing w:after="140" w:before="0"/>
      </w:pPr>
      <w:r>
        <w:rPr>
          <w:rFonts w:ascii="Calibri" w:cs="Calibri" w:eastAsia="Calibri" w:hAnsi="Calibri"/>
          <w:color w:val="3A3A3A"/>
          <w:sz w:val="21"/>
          <w:szCs w:val="21"/>
        </w:rPr>
        <w:t xml:space="preserve">No essential-document collection or site activation activity should begin ahead of a fully executed agreement. Track contract status here and escalate stalled negotiations through the Risk Register (Toolkit Component 7).</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4300"/>
        <w:gridCol w:w="1500"/>
        <w:gridCol w:w="1500"/>
        <w:gridCol w:w="1100"/>
        <w:gridCol w:w="19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4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1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29</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Execute Confidentiality Disclosure Agreement (CDA) with each candidate site</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Legal / Contracts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-11</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30</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Draft Clinical Trial Agreement (CTA) / Site Agreement from the master template</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Legal / Contracts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-10</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31</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Negotiate site budget, per-patient payment, and overhead items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 / Finance</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-9</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32</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Execute Clinical Trial Agreement with each participating site</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Legal / Contracts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-8</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33</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Execute contracts with third-party vendors (central lab, IRT, imaging, translation)</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Procurement / Vendor Mgmt</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-8</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34</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clinical trial insurance and indemnification coverage is in place per country</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Legal / Contracts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-7</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35</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Set up site payment mechanism and link to the Budget &amp; Payment Milestone Tracker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Finance</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-6</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pPr>
        <w:spacing w:after="160" w:before="0"/>
      </w:pPr>
      <w:r>
        <w:rPr>
          <w:rFonts w:ascii="Calibri" w:cs="Calibri" w:eastAsia="Calibri" w:hAnsi="Calibri"/>
          <w:color w:val="3A3A3A"/>
          <w:sz w:val="21"/>
          <w:szCs w:val="21"/>
        </w:rPr>
        <w:t xml:space="preserve"/>
      </w:r>
    </w:p>
    <w:p>
      <w:pPr>
        <w:pStyle w:val="Heading2"/>
        <w:spacing w:after="120" w:before="260"/>
      </w:pPr>
      <w:r>
        <w:rPr>
          <w:rFonts w:ascii="Calibri" w:cs="Calibri" w:eastAsia="Calibri" w:hAnsi="Calibri"/>
          <w:b/>
          <w:bCs/>
          <w:color w:val="0B1F45"/>
          <w:sz w:val="24"/>
          <w:szCs w:val="24"/>
        </w:rPr>
        <w:t xml:space="preserve">Phase 5: Essential Document Collection (TMF)</w:t>
      </w:r>
    </w:p>
    <w:p>
      <w:pPr>
        <w:spacing w:after="80" w:before="0"/>
      </w:pPr>
      <w:r>
        <w:rPr>
          <w:rFonts w:ascii="Calibri" w:cs="Calibri" w:eastAsia="Calibri" w:hAnsi="Calibri"/>
          <w:i/>
          <w:iCs/>
          <w:color w:val="E8543A"/>
          <w:sz w:val="19"/>
          <w:szCs w:val="19"/>
        </w:rPr>
        <w:t xml:space="preserve">Typical timing: Week -8 to Week -4</w:t>
      </w:r>
    </w:p>
    <w:p>
      <w:pPr>
        <w:spacing w:after="140" w:before="0"/>
      </w:pPr>
      <w:r>
        <w:rPr>
          <w:rFonts w:ascii="Calibri" w:cs="Calibri" w:eastAsia="Calibri" w:hAnsi="Calibri"/>
          <w:color w:val="3A3A3A"/>
          <w:sz w:val="21"/>
          <w:szCs w:val="21"/>
        </w:rPr>
        <w:t xml:space="preserve">A site cannot be activated until its Essential Document Checklist (Toolkit Component 5) is 100% complete and quality-reviewed. Track collection status here at a summary level; use the dedicated checklist for document-level detail.</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4300"/>
        <w:gridCol w:w="1500"/>
        <w:gridCol w:w="1500"/>
        <w:gridCol w:w="1100"/>
        <w:gridCol w:w="19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4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1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36</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Distribute Essential Document Checklist to each site (Toolkit Component 5)</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-8</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37</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signed protocol, protocol amendments, and signature page</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-7</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38</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fully executed Clinical Trial Agreement and financial disclosure forms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-7</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39</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current CVs, medical licenses, and GCP certificates for PI and sub-investigators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-6</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40</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IRB/EC approval letters, approved ICF, and approved recruitment materials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-6</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41</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laboratory certifications, accreditations, and normal reference ranges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-5</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42</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Collect signed delegation of authority log and 1572 / Investigator Agreement (where applicable)</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-5</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43</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100% of essential documents filed in the Trial Master File prior to activation</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 / TMF Lead</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-4</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44</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Complete quality-control review of TMF completeness (TMF Inspection Readiness Kit — companion toolkit)</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QA / TMF Lead</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-4</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pPr>
        <w:spacing w:after="160" w:before="0"/>
      </w:pPr>
      <w:r>
        <w:rPr>
          <w:rFonts w:ascii="Calibri" w:cs="Calibri" w:eastAsia="Calibri" w:hAnsi="Calibri"/>
          <w:color w:val="3A3A3A"/>
          <w:sz w:val="21"/>
          <w:szCs w:val="21"/>
        </w:rPr>
        <w:t xml:space="preserve"/>
      </w:r>
    </w:p>
    <w:p>
      <w:pPr>
        <w:pStyle w:val="Heading2"/>
        <w:spacing w:after="120" w:before="260"/>
      </w:pPr>
      <w:r>
        <w:rPr>
          <w:rFonts w:ascii="Calibri" w:cs="Calibri" w:eastAsia="Calibri" w:hAnsi="Calibri"/>
          <w:b/>
          <w:bCs/>
          <w:color w:val="0B1F45"/>
          <w:sz w:val="24"/>
          <w:szCs w:val="24"/>
        </w:rPr>
        <w:t xml:space="preserve">Phase 6: Site Activation</w:t>
      </w:r>
    </w:p>
    <w:p>
      <w:pPr>
        <w:spacing w:after="80" w:before="0"/>
      </w:pPr>
      <w:r>
        <w:rPr>
          <w:rFonts w:ascii="Calibri" w:cs="Calibri" w:eastAsia="Calibri" w:hAnsi="Calibri"/>
          <w:i/>
          <w:iCs/>
          <w:color w:val="E8543A"/>
          <w:sz w:val="19"/>
          <w:szCs w:val="19"/>
        </w:rPr>
        <w:t xml:space="preserve">Typical timing: Week -6 to Week -2</w:t>
      </w:r>
    </w:p>
    <w:p>
      <w:pPr>
        <w:spacing w:after="140" w:before="0"/>
      </w:pPr>
      <w:r>
        <w:rPr>
          <w:rFonts w:ascii="Calibri" w:cs="Calibri" w:eastAsia="Calibri" w:hAnsi="Calibri"/>
          <w:color w:val="3A3A3A"/>
          <w:sz w:val="21"/>
          <w:szCs w:val="21"/>
        </w:rPr>
        <w:t xml:space="preserve">Activation is the formal go/no-go gate before a site may enroll. All items in this phase must be closed — no exceptions — before the activation letter is issued.</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4300"/>
        <w:gridCol w:w="1500"/>
        <w:gridCol w:w="1500"/>
        <w:gridCol w:w="1100"/>
        <w:gridCol w:w="19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4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1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45</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all activation criteria met: regulatory, contract, essential documents, training</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-4</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46</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Schedule and conduct Site Initiation Visit (SIV), in person or remote</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-3</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47</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Deliver protocol and Informed Consent Form training at the SIV</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 / Medical Monitor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-3</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48</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Deliver EDC / eCRF training and confirm site staff system access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Data Management / 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-3</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49</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Deliver IRT / RTSM training and confirm site staff system access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-3</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50</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investigational product shipment received, and storage conditions verified</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Site Pharmacist / 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-2</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51</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investigational product accountability log initiated and reconciled at receipt</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Site Pharmacist</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-2</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52</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site has access to safety reporting procedures, forms, and 24/7 contacts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 / Pharmacovigilance</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-2</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53</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site-specific source document templates finalized and distributed</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-2</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54</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Issue formal site activation (“Green Light”) letter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55</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Update CTMS with site activation status, dates, and supporting documentation</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 / CTMS Admin</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pPr>
        <w:spacing w:after="160" w:before="0"/>
      </w:pPr>
      <w:r>
        <w:rPr>
          <w:rFonts w:ascii="Calibri" w:cs="Calibri" w:eastAsia="Calibri" w:hAnsi="Calibri"/>
          <w:color w:val="3A3A3A"/>
          <w:sz w:val="21"/>
          <w:szCs w:val="21"/>
        </w:rPr>
        <w:t xml:space="preserve"/>
      </w:r>
    </w:p>
    <w:p>
      <w:pPr>
        <w:pStyle w:val="Heading2"/>
        <w:spacing w:after="120" w:before="260"/>
      </w:pPr>
      <w:r>
        <w:rPr>
          <w:rFonts w:ascii="Calibri" w:cs="Calibri" w:eastAsia="Calibri" w:hAnsi="Calibri"/>
          <w:b/>
          <w:bCs/>
          <w:color w:val="0B1F45"/>
          <w:sz w:val="24"/>
          <w:szCs w:val="24"/>
        </w:rPr>
        <w:t xml:space="preserve">Phase 7: Systems, Training &amp; Communication</w:t>
      </w:r>
    </w:p>
    <w:p>
      <w:pPr>
        <w:spacing w:after="80" w:before="0"/>
      </w:pPr>
      <w:r>
        <w:rPr>
          <w:rFonts w:ascii="Calibri" w:cs="Calibri" w:eastAsia="Calibri" w:hAnsi="Calibri"/>
          <w:i/>
          <w:iCs/>
          <w:color w:val="E8543A"/>
          <w:sz w:val="19"/>
          <w:szCs w:val="19"/>
        </w:rPr>
        <w:t xml:space="preserve">Typical timing: Week -8 to Week 0 (ongoing)</w:t>
      </w:r>
    </w:p>
    <w:p>
      <w:pPr>
        <w:spacing w:after="140" w:before="0"/>
      </w:pPr>
      <w:r>
        <w:rPr>
          <w:rFonts w:ascii="Calibri" w:cs="Calibri" w:eastAsia="Calibri" w:hAnsi="Calibri"/>
          <w:color w:val="3A3A3A"/>
          <w:sz w:val="21"/>
          <w:szCs w:val="21"/>
        </w:rPr>
        <w:t xml:space="preserve">These items run in parallel with the phases above and establish the operating rhythm the study team will use for the life of the trial.</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4300"/>
        <w:gridCol w:w="1500"/>
        <w:gridCol w:w="1500"/>
        <w:gridCol w:w="1100"/>
        <w:gridCol w:w="19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4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1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56</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and distribute the study Communication Plan to all stakeholders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-8</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57</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Set up study team distribution lists, meeting cadence, and escalation contacts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-8</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58</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Conduct internal study team kickoff meeting</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-7</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59</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Conduct investigator meeting (in person or virtual) covering protocol and procedures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Medical Monitor / Project Manager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-5</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60</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Distribute the Monitoring Plan to all assigned CRAs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Clinical Operations Lead</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-5</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61</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Set up CTMS study record, milestones, and site tracking fields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CTMS Admin</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-6</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62</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Set up Trial Master File structure (eTMF or physical) per the reference filing model</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TMF Lead</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-6</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63</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pharmacovigilance / SAE reporting workflow is documented and tested end-to-end</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Pharmacovigilance</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-4</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64</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all study team members have completed protocol-specific training with documentation on file</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-2</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pPr>
        <w:spacing w:after="160" w:before="0"/>
      </w:pPr>
      <w:r>
        <w:rPr>
          <w:rFonts w:ascii="Calibri" w:cs="Calibri" w:eastAsia="Calibri" w:hAnsi="Calibri"/>
          <w:color w:val="3A3A3A"/>
          <w:sz w:val="21"/>
          <w:szCs w:val="21"/>
        </w:rPr>
        <w:t xml:space="preserve"/>
      </w:r>
    </w:p>
    <w:p>
      <w:pPr>
        <w:pStyle w:val="Heading2"/>
        <w:spacing w:after="120" w:before="260"/>
      </w:pPr>
      <w:r>
        <w:rPr>
          <w:rFonts w:ascii="Calibri" w:cs="Calibri" w:eastAsia="Calibri" w:hAnsi="Calibri"/>
          <w:b/>
          <w:bCs/>
          <w:color w:val="0B1F45"/>
          <w:sz w:val="24"/>
          <w:szCs w:val="24"/>
        </w:rPr>
        <w:t xml:space="preserve">Phase 8: Recruitment Readiness</w:t>
      </w:r>
    </w:p>
    <w:p>
      <w:pPr>
        <w:spacing w:after="80" w:before="0"/>
      </w:pPr>
      <w:r>
        <w:rPr>
          <w:rFonts w:ascii="Calibri" w:cs="Calibri" w:eastAsia="Calibri" w:hAnsi="Calibri"/>
          <w:i/>
          <w:iCs/>
          <w:color w:val="E8543A"/>
          <w:sz w:val="19"/>
          <w:szCs w:val="19"/>
        </w:rPr>
        <w:t xml:space="preserve">Typical timing: Week -4 to Week 0</w:t>
      </w:r>
    </w:p>
    <w:p>
      <w:pPr>
        <w:spacing w:after="140" w:before="0"/>
      </w:pPr>
      <w:r>
        <w:rPr>
          <w:rFonts w:ascii="Calibri" w:cs="Calibri" w:eastAsia="Calibri" w:hAnsi="Calibri"/>
          <w:color w:val="3A3A3A"/>
          <w:sz w:val="21"/>
          <w:szCs w:val="21"/>
        </w:rPr>
        <w:t xml:space="preserve">Recruitment materials and screening tools must be approved and in the hands of site staff before activation — not scrambled together after the first monitoring visit.</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4300"/>
        <w:gridCol w:w="1500"/>
        <w:gridCol w:w="1500"/>
        <w:gridCol w:w="1100"/>
        <w:gridCol w:w="19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4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1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65</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recruitment strategy, timeline, and patient-facing materials (Toolkit Component 10)</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 / Recruitment Lead</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-4</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66</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recruitment materials formally approved by each IRB / EC</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Regulatory Affairs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-3</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67</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screening log and enrollment-tracking tools distributed to all sites</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-2</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68</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Review informed consent process and documentation requirements with site staff</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-2</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69</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Re-validate patient recruitment feasibility with each site immediately post-activation</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-1</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pPr>
        <w:spacing w:after="160" w:before="0"/>
      </w:pPr>
      <w:r>
        <w:rPr>
          <w:rFonts w:ascii="Calibri" w:cs="Calibri" w:eastAsia="Calibri" w:hAnsi="Calibri"/>
          <w:color w:val="3A3A3A"/>
          <w:sz w:val="21"/>
          <w:szCs w:val="21"/>
        </w:rPr>
        <w:t xml:space="preserve"/>
      </w:r>
    </w:p>
    <w:p>
      <w:pPr>
        <w:pStyle w:val="Heading2"/>
        <w:spacing w:after="120" w:before="260"/>
      </w:pPr>
      <w:r>
        <w:rPr>
          <w:rFonts w:ascii="Calibri" w:cs="Calibri" w:eastAsia="Calibri" w:hAnsi="Calibri"/>
          <w:b/>
          <w:bCs/>
          <w:color w:val="0B1F45"/>
          <w:sz w:val="24"/>
          <w:szCs w:val="24"/>
        </w:rPr>
        <w:t xml:space="preserve">Phase 9: First Patient In / Final Readiness Review</w:t>
      </w:r>
    </w:p>
    <w:p>
      <w:pPr>
        <w:spacing w:after="80" w:before="0"/>
      </w:pPr>
      <w:r>
        <w:rPr>
          <w:rFonts w:ascii="Calibri" w:cs="Calibri" w:eastAsia="Calibri" w:hAnsi="Calibri"/>
          <w:i/>
          <w:iCs/>
          <w:color w:val="E8543A"/>
          <w:sz w:val="19"/>
          <w:szCs w:val="19"/>
        </w:rPr>
        <w:t xml:space="preserve">Typical timing: Week 0</w:t>
      </w:r>
    </w:p>
    <w:p>
      <w:pPr>
        <w:spacing w:after="140" w:before="0"/>
      </w:pPr>
      <w:r>
        <w:rPr>
          <w:rFonts w:ascii="Calibri" w:cs="Calibri" w:eastAsia="Calibri" w:hAnsi="Calibri"/>
          <w:color w:val="3A3A3A"/>
          <w:sz w:val="21"/>
          <w:szCs w:val="21"/>
        </w:rPr>
        <w:t xml:space="preserve">The final gate. This meeting is the formal record that the study team reviewed every open item before authorizing enrollment — keep the minutes with the TMF.</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4300"/>
        <w:gridCol w:w="1500"/>
        <w:gridCol w:w="1500"/>
        <w:gridCol w:w="1100"/>
        <w:gridCol w:w="19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4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Target Timeframe</w:t>
            </w:r>
          </w:p>
        </w:tc>
        <w:tc>
          <w:tcPr>
            <w:tcW w:type="dxa" w:w="11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1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 / Reference</w:t>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70</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Conduct final readiness / Go-Live review meeting with full study team</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0</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71</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all pre-activation action items across Phases 1–8 are closed</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0</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72</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Risk Register reviewed and mitigation plans in place for open risks (Toolkit Component 7)</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0</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73</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RACI matrix distributed and acknowledged by all named parties (Toolkit Component 8)</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0</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74</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Formally authorize site(s) for subject enrollment</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Sponsor / Project Manager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0</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75</w:t>
            </w:r>
          </w:p>
        </w:tc>
        <w:tc>
          <w:tcPr>
            <w:tcW w:type="dxa" w:w="4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Track and confirm date of First Patient In (FPI) / First Subject Enrolled</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CRA / Project Manager</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0</w:t>
            </w:r>
          </w:p>
        </w:tc>
        <w:tc>
          <w:tcPr>
            <w:tcW w:type="dxa" w:w="11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76</w:t>
            </w:r>
          </w:p>
        </w:tc>
        <w:tc>
          <w:tcPr>
            <w:tcW w:type="dxa" w:w="4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Schedule the first Weekly Status Report cycle (Toolkit Component 11)</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Project Manager</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Week 0</w:t>
            </w:r>
          </w:p>
        </w:tc>
        <w:tc>
          <w:tcPr>
            <w:tcW w:type="dxa" w:w="11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2"/>
                <w:szCs w:val="22"/>
              </w:rPr>
              <w:t xml:space="preserve">☐</w:t>
            </w:r>
          </w:p>
        </w:tc>
        <w:tc>
          <w:tcPr>
            <w:tcW w:type="dxa" w:w="1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pPr>
        <w:spacing w:after="160" w:before="0"/>
      </w:pPr>
      <w:r>
        <w:rPr>
          <w:rFonts w:ascii="Calibri" w:cs="Calibri" w:eastAsia="Calibri" w:hAnsi="Calibri"/>
          <w:color w:val="3A3A3A"/>
          <w:sz w:val="21"/>
          <w:szCs w:val="21"/>
        </w:rPr>
        <w:t xml:space="preserve"/>
      </w:r>
    </w:p>
    <w:p>
      <w:r>
        <w:br w:type="page"/>
      </w:r>
    </w:p>
    <w:p>
      <w:pPr>
        <w:pStyle w:val="Heading1"/>
        <w:pBdr>
          <w:bottom w:val="single" w:color="E8543A" w:sz="12" w:space="4"/>
        </w:pBdr>
        <w:spacing w:after="160" w:before="320"/>
      </w:pPr>
      <w:r>
        <w:rPr>
          <w:rFonts w:ascii="Calibri" w:cs="Calibri" w:eastAsia="Calibri" w:hAnsi="Calibri"/>
          <w:b/>
          <w:bCs/>
          <w:color w:val="0B1F45"/>
          <w:sz w:val="30"/>
          <w:szCs w:val="30"/>
        </w:rPr>
        <w:t xml:space="preserve">Filled-In Example (Excerpt)</w:t>
      </w:r>
    </w:p>
    <w:p>
      <w:pPr>
        <w:spacing w:after="160" w:before="0"/>
      </w:pPr>
      <w:r>
        <w:rPr>
          <w:rFonts w:ascii="Calibri" w:cs="Calibri" w:eastAsia="Calibri" w:hAnsi="Calibri"/>
          <w:color w:val="3A3A3A"/>
          <w:sz w:val="21"/>
          <w:szCs w:val="21"/>
        </w:rPr>
        <w:t xml:space="preserve">The full Filled-In Example Set (Toolkit Component 12) provides a completed version of every document in this toolkit, populated with a realistic — fictional — Phase II multi-country oncology trial. The excerpt below shows Phase 1 of the Master Checklist as it would appear roughly three weeks into an active start-up, to illustrate the intended level of detail in the Status and Notes columns.</w:t>
      </w:r>
    </w:p>
    <w:p>
      <w:pPr>
        <w:spacing w:after="160" w:before="0"/>
      </w:pPr>
      <w:r>
        <w:rPr>
          <w:rFonts w:ascii="Calibri" w:cs="Calibri" w:eastAsia="Calibri" w:hAnsi="Calibri"/>
          <w:i/>
          <w:iCs/>
          <w:color w:val="6B6B6B"/>
          <w:sz w:val="19"/>
          <w:szCs w:val="19"/>
        </w:rPr>
        <w:t xml:space="preserve">Example study: “ORACLE-2”, a Phase II, randomized, open-label trial in second-line NSCLC across Spain, Poland, and Germany. Planned site activation (Week 0): 15 September.</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500"/>
        <w:gridCol w:w="3600"/>
        <w:gridCol w:w="1500"/>
        <w:gridCol w:w="1400"/>
        <w:gridCol w:w="1600"/>
        <w:gridCol w:w="2200"/>
      </w:tblGrid>
      <w:tr>
        <w:trPr>
          <w:tblHeader/>
        </w:trPr>
        <w:tc>
          <w:tcPr>
            <w:tcW w:type="dxa" w:w="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w:t>
            </w:r>
          </w:p>
        </w:tc>
        <w:tc>
          <w:tcPr>
            <w:tcW w:type="dxa" w:w="3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Task</w:t>
            </w:r>
          </w:p>
        </w:tc>
        <w:tc>
          <w:tcPr>
            <w:tcW w:type="dxa" w:w="15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Owner</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Timeframe</w:t>
            </w:r>
          </w:p>
        </w:tc>
        <w:tc>
          <w:tcPr>
            <w:tcW w:type="dxa" w:w="1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Status</w:t>
            </w:r>
          </w:p>
        </w:tc>
        <w:tc>
          <w:tcPr>
            <w:tcW w:type="dxa" w:w="2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Notes</w:t>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w:t>
            </w:r>
          </w:p>
        </w:tc>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protocol synopsis and full protocol text</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Medical Director</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-12</w:t>
            </w:r>
          </w:p>
        </w:tc>
        <w:tc>
          <w:tcPr>
            <w:tcW w:type="dxa" w:w="1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1E7A3D"/>
                <w:sz w:val="16"/>
                <w:szCs w:val="16"/>
              </w:rPr>
              <w:t xml:space="preserve">Complete</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Protocol v2.0 approved 12 Jun; filed in TMF §1.1</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2</w:t>
            </w:r>
          </w:p>
        </w:tc>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study design and SAP alignment</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Biostatistics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-12</w:t>
            </w:r>
          </w:p>
        </w:tc>
        <w:tc>
          <w:tcPr>
            <w:tcW w:type="dxa" w:w="1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1E7A3D"/>
                <w:sz w:val="16"/>
                <w:szCs w:val="16"/>
              </w:rPr>
              <w:t xml:space="preserve">Complete</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SAP v1.0 signed off 14 Jun</w:t>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3</w:t>
            </w:r>
          </w:p>
        </w:tc>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Complete country and site feasibility assessment</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Feasibility Team</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-12/-11</w:t>
            </w:r>
          </w:p>
        </w:tc>
        <w:tc>
          <w:tcPr>
            <w:tcW w:type="dxa" w:w="1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1E7A3D"/>
                <w:sz w:val="16"/>
                <w:szCs w:val="16"/>
              </w:rPr>
              <w:t xml:space="preserve">Complete</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9 sites assessed across 3 countries — see Component 2</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4</w:t>
            </w:r>
          </w:p>
        </w:tc>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Define enrollment target and per-site allocation</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-11</w:t>
            </w:r>
          </w:p>
        </w:tc>
        <w:tc>
          <w:tcPr>
            <w:tcW w:type="dxa" w:w="1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1E7A3D"/>
                <w:sz w:val="16"/>
                <w:szCs w:val="16"/>
              </w:rPr>
              <w:t xml:space="preserve">Complete</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n=140 total; ES 60 / PL 50 / DE 30</w:t>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5</w:t>
            </w:r>
          </w:p>
        </w:tc>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participating countries and pathway</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Regulatory Affairs</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-11</w:t>
            </w:r>
          </w:p>
        </w:tc>
        <w:tc>
          <w:tcPr>
            <w:tcW w:type="dxa" w:w="1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1E7A3D"/>
                <w:sz w:val="16"/>
                <w:szCs w:val="16"/>
              </w:rPr>
              <w:t xml:space="preserve">Complete</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CTIS single submission confirmed for all 3 countries</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6</w:t>
            </w:r>
          </w:p>
        </w:tc>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CRO / vendor operating model</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Sponsor / Clin Ops</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-11</w:t>
            </w:r>
          </w:p>
        </w:tc>
        <w:tc>
          <w:tcPr>
            <w:tcW w:type="dxa" w:w="1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1E7A3D"/>
                <w:sz w:val="16"/>
                <w:szCs w:val="16"/>
              </w:rPr>
              <w:t xml:space="preserve">Complete</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Hybrid model: full-service ES/PL, functional DE</w:t>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7</w:t>
            </w:r>
          </w:p>
        </w:tc>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Finalize study budget and payment milestones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Finance / PM</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E8543A"/>
                <w:sz w:val="16"/>
                <w:szCs w:val="16"/>
              </w:rPr>
              <w:t xml:space="preserve">Blocked</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Awaiting DE site counter-proposal — logged in Risk Register R-004</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8</w:t>
            </w:r>
          </w:p>
        </w:tc>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EDC vendor and eCRF build timeline</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Data Management</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6"/>
                <w:szCs w:val="16"/>
              </w:rPr>
              <w:t xml:space="preserve">In Progress</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Build kick-off scheduled 20 Jun</w:t>
            </w:r>
          </w:p>
        </w:tc>
      </w:tr>
      <w:tr>
        <w:tc>
          <w:tcPr>
            <w:tcW w:type="dxa" w:w="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9</w:t>
            </w:r>
          </w:p>
        </w:tc>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central lab / imaging vendor(s)</w:t>
            </w:r>
          </w:p>
        </w:tc>
        <w:tc>
          <w:tcPr>
            <w:tcW w:type="dxa" w:w="15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Project Manager</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1E7A3D"/>
                <w:sz w:val="16"/>
                <w:szCs w:val="16"/>
              </w:rPr>
              <w:t xml:space="preserve">Complete</w:t>
            </w:r>
          </w:p>
        </w:tc>
        <w:tc>
          <w:tcPr>
            <w:tcW w:type="dxa" w:w="2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Central lab: Synevo; imaging: not required per protocol</w:t>
            </w:r>
          </w:p>
        </w:tc>
      </w:tr>
      <w:tr>
        <w:tc>
          <w:tcPr>
            <w:tcW w:type="dxa" w:w="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0B1F45"/>
                <w:sz w:val="18"/>
                <w:szCs w:val="18"/>
              </w:rPr>
              <w:t xml:space="preserve">10</w:t>
            </w:r>
          </w:p>
        </w:tc>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Confirm IRT vendor and randomization method</w:t>
            </w:r>
          </w:p>
        </w:tc>
        <w:tc>
          <w:tcPr>
            <w:tcW w:type="dxa" w:w="15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PM / Pharmacy</w:t>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Week -10</w:t>
            </w:r>
          </w:p>
        </w:tc>
        <w:tc>
          <w:tcPr>
            <w:tcW w:type="dxa" w:w="1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1E7A3D"/>
                <w:sz w:val="16"/>
                <w:szCs w:val="16"/>
              </w:rPr>
              <w:t xml:space="preserve">Complete</w:t>
            </w:r>
          </w:p>
        </w:tc>
        <w:tc>
          <w:tcPr>
            <w:tcW w:type="dxa" w:w="2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5"/>
                <w:szCs w:val="15"/>
              </w:rPr>
              <w:t xml:space="preserve">IRT: Suvoda; stratified randomization 1:1</w:t>
            </w:r>
          </w:p>
        </w:tc>
      </w:tr>
    </w:tbl>
    <w:p>
      <w:pPr>
        <w:spacing w:after="200" w:before="160"/>
      </w:pPr>
      <w:r>
        <w:rPr>
          <w:rFonts w:ascii="Calibri" w:cs="Calibri" w:eastAsia="Calibri" w:hAnsi="Calibri"/>
          <w:i/>
          <w:iCs/>
          <w:color w:val="6B6B6B"/>
          <w:sz w:val="19"/>
          <w:szCs w:val="19"/>
        </w:rPr>
        <w:t xml:space="preserve">Note how the Blocked item (row 7) references a specific Risk Register entry (R-004) rather than a vague note — this traceability is what makes the checklist audit-ready.</w:t>
      </w:r>
    </w:p>
    <w:p>
      <w:r>
        <w:br w:type="page"/>
      </w:r>
    </w:p>
    <w:p>
      <w:pPr>
        <w:pStyle w:val="Heading1"/>
        <w:pBdr>
          <w:bottom w:val="single" w:color="E8543A" w:sz="12" w:space="4"/>
        </w:pBdr>
        <w:spacing w:after="160" w:before="320"/>
      </w:pPr>
      <w:r>
        <w:rPr>
          <w:rFonts w:ascii="Calibri" w:cs="Calibri" w:eastAsia="Calibri" w:hAnsi="Calibri"/>
          <w:b/>
          <w:bCs/>
          <w:color w:val="0B1F45"/>
          <w:sz w:val="30"/>
          <w:szCs w:val="30"/>
        </w:rPr>
        <w:t xml:space="preserve">Appendix A — Abbreviations Glossary</w:t>
      </w:r>
    </w:p>
    <w:tbl>
      <w:tblPr>
        <w:tblW w:type="dxa" w:w="8800"/>
        <w:tblBorders>
          <w:top w:val="single" w:color="auto" w:sz="4"/>
          <w:left w:val="single" w:color="auto" w:sz="4"/>
          <w:bottom w:val="single" w:color="auto" w:sz="4"/>
          <w:right w:val="single" w:color="auto" w:sz="4"/>
          <w:insideH w:val="single" w:color="auto" w:sz="4"/>
          <w:insideV w:val="single" w:color="auto" w:sz="4"/>
        </w:tblBorders>
      </w:tblPr>
      <w:tblGrid>
        <w:gridCol w:w="2000"/>
        <w:gridCol w:w="6800"/>
      </w:tblGrid>
      <w:tr>
        <w:trPr>
          <w:tblHeader/>
        </w:trPr>
        <w:tc>
          <w:tcPr>
            <w:tcW w:type="dxa" w:w="20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Abbreviation</w:t>
            </w:r>
          </w:p>
        </w:tc>
        <w:tc>
          <w:tcPr>
            <w:tcW w:type="dxa" w:w="6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Definition</w:t>
            </w:r>
          </w:p>
        </w:tc>
      </w:tr>
      <w:tr>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CTA</w:t>
            </w:r>
          </w:p>
        </w:tc>
        <w:tc>
          <w:tcPr>
            <w:tcW w:type="dxa" w:w="6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Clinical Trial Agreement (site contract) or Clinical Trial Application (regulatory submission) — context-dependent</w:t>
            </w:r>
          </w:p>
        </w:tc>
      </w:tr>
      <w:tr>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CRA</w:t>
            </w:r>
          </w:p>
        </w:tc>
        <w:tc>
          <w:tcPr>
            <w:tcW w:type="dxa" w:w="6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Clinical Research Associate</w:t>
            </w:r>
          </w:p>
        </w:tc>
      </w:tr>
      <w:tr>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CRO</w:t>
            </w:r>
          </w:p>
        </w:tc>
        <w:tc>
          <w:tcPr>
            <w:tcW w:type="dxa" w:w="6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Contract Research Organization</w:t>
            </w:r>
          </w:p>
        </w:tc>
      </w:tr>
      <w:tr>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CTMS</w:t>
            </w:r>
          </w:p>
        </w:tc>
        <w:tc>
          <w:tcPr>
            <w:tcW w:type="dxa" w:w="6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Clinical Trial Management System</w:t>
            </w:r>
          </w:p>
        </w:tc>
      </w:tr>
      <w:tr>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ECs</w:t>
            </w:r>
          </w:p>
        </w:tc>
        <w:tc>
          <w:tcPr>
            <w:tcW w:type="dxa" w:w="6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Ethics Committee(s)</w:t>
            </w:r>
          </w:p>
        </w:tc>
      </w:tr>
      <w:tr>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EDC</w:t>
            </w:r>
          </w:p>
        </w:tc>
        <w:tc>
          <w:tcPr>
            <w:tcW w:type="dxa" w:w="6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Electronic Data Capture</w:t>
            </w:r>
          </w:p>
        </w:tc>
      </w:tr>
      <w:tr>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eTMF</w:t>
            </w:r>
          </w:p>
        </w:tc>
        <w:tc>
          <w:tcPr>
            <w:tcW w:type="dxa" w:w="6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Electronic Trial Master File</w:t>
            </w:r>
          </w:p>
        </w:tc>
      </w:tr>
      <w:tr>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FPI</w:t>
            </w:r>
          </w:p>
        </w:tc>
        <w:tc>
          <w:tcPr>
            <w:tcW w:type="dxa" w:w="6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First Patient In (first subject enrolled)</w:t>
            </w:r>
          </w:p>
        </w:tc>
      </w:tr>
      <w:tr>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GCP</w:t>
            </w:r>
          </w:p>
        </w:tc>
        <w:tc>
          <w:tcPr>
            <w:tcW w:type="dxa" w:w="6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Good Clinical Practice</w:t>
            </w:r>
          </w:p>
        </w:tc>
      </w:tr>
      <w:tr>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ICF</w:t>
            </w:r>
          </w:p>
        </w:tc>
        <w:tc>
          <w:tcPr>
            <w:tcW w:type="dxa" w:w="6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Informed Consent Form</w:t>
            </w:r>
          </w:p>
        </w:tc>
      </w:tr>
      <w:tr>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IND</w:t>
            </w:r>
          </w:p>
        </w:tc>
        <w:tc>
          <w:tcPr>
            <w:tcW w:type="dxa" w:w="6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Investigational New Drug application (US)</w:t>
            </w:r>
          </w:p>
        </w:tc>
      </w:tr>
      <w:tr>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IRB</w:t>
            </w:r>
          </w:p>
        </w:tc>
        <w:tc>
          <w:tcPr>
            <w:tcW w:type="dxa" w:w="6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Institutional Review Board</w:t>
            </w:r>
          </w:p>
        </w:tc>
      </w:tr>
      <w:tr>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IRT / RTSM</w:t>
            </w:r>
          </w:p>
        </w:tc>
        <w:tc>
          <w:tcPr>
            <w:tcW w:type="dxa" w:w="6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Interactive Response Technology / Randomization and Trial Supply Management</w:t>
            </w:r>
          </w:p>
        </w:tc>
      </w:tr>
      <w:tr>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PI</w:t>
            </w:r>
          </w:p>
        </w:tc>
        <w:tc>
          <w:tcPr>
            <w:tcW w:type="dxa" w:w="6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Principal Investigator</w:t>
            </w:r>
          </w:p>
        </w:tc>
      </w:tr>
      <w:tr>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QA</w:t>
            </w:r>
          </w:p>
        </w:tc>
        <w:tc>
          <w:tcPr>
            <w:tcW w:type="dxa" w:w="6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Quality Assurance</w:t>
            </w:r>
          </w:p>
        </w:tc>
      </w:tr>
      <w:tr>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SAE</w:t>
            </w:r>
          </w:p>
        </w:tc>
        <w:tc>
          <w:tcPr>
            <w:tcW w:type="dxa" w:w="6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Serious Adverse Event</w:t>
            </w:r>
          </w:p>
        </w:tc>
      </w:tr>
      <w:tr>
        <w:tc>
          <w:tcPr>
            <w:tcW w:type="dxa" w:w="2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SIV</w:t>
            </w:r>
          </w:p>
        </w:tc>
        <w:tc>
          <w:tcPr>
            <w:tcW w:type="dxa" w:w="6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Site Initiation Visit</w:t>
            </w:r>
          </w:p>
        </w:tc>
      </w:tr>
      <w:tr>
        <w:tc>
          <w:tcPr>
            <w:tcW w:type="dxa" w:w="2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0B1F45"/>
                <w:sz w:val="18"/>
                <w:szCs w:val="18"/>
              </w:rPr>
              <w:t xml:space="preserve">TMF</w:t>
            </w:r>
          </w:p>
        </w:tc>
        <w:tc>
          <w:tcPr>
            <w:tcW w:type="dxa" w:w="6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Trial Master File</w:t>
            </w:r>
          </w:p>
        </w:tc>
      </w:tr>
    </w:tbl>
    <w:p>
      <w:pPr>
        <w:spacing w:after="300" w:before="0"/>
      </w:pPr>
      <w:r>
        <w:rPr>
          <w:rFonts w:ascii="Calibri" w:cs="Calibri" w:eastAsia="Calibri" w:hAnsi="Calibri"/>
          <w:color w:val="3A3A3A"/>
          <w:sz w:val="21"/>
          <w:szCs w:val="21"/>
        </w:rPr>
        <w:t xml:space="preserve"/>
      </w:r>
    </w:p>
    <w:p>
      <w:pPr>
        <w:pStyle w:val="Heading1"/>
        <w:pBdr>
          <w:bottom w:val="single" w:color="E8543A" w:sz="12" w:space="4"/>
        </w:pBdr>
        <w:spacing w:after="160" w:before="320"/>
      </w:pPr>
      <w:r>
        <w:rPr>
          <w:rFonts w:ascii="Calibri" w:cs="Calibri" w:eastAsia="Calibri" w:hAnsi="Calibri"/>
          <w:b/>
          <w:bCs/>
          <w:color w:val="0B1F45"/>
          <w:sz w:val="30"/>
          <w:szCs w:val="30"/>
        </w:rPr>
        <w:t xml:space="preserve">Appendix B — Version Control Log</w:t>
      </w:r>
    </w:p>
    <w:p>
      <w:pPr>
        <w:spacing w:after="140" w:before="0"/>
      </w:pPr>
      <w:r>
        <w:rPr>
          <w:rFonts w:ascii="Calibri" w:cs="Calibri" w:eastAsia="Calibri" w:hAnsi="Calibri"/>
          <w:color w:val="3A3A3A"/>
          <w:sz w:val="21"/>
          <w:szCs w:val="21"/>
        </w:rPr>
        <w:t xml:space="preserve">Maintain this log every time the checklist is updated for your study, so the study team always references the current version.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400"/>
        <w:gridCol w:w="1400"/>
        <w:gridCol w:w="2600"/>
        <w:gridCol w:w="3600"/>
      </w:tblGrid>
      <w:tr>
        <w:trPr>
          <w:tblHeader/>
        </w:trPr>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Version</w:t>
            </w:r>
          </w:p>
        </w:tc>
        <w:tc>
          <w:tcPr>
            <w:tcW w:type="dxa" w:w="14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Date</w:t>
            </w:r>
          </w:p>
        </w:tc>
        <w:tc>
          <w:tcPr>
            <w:tcW w:type="dxa" w:w="2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Author</w:t>
            </w:r>
          </w:p>
        </w:tc>
        <w:tc>
          <w:tcPr>
            <w:tcW w:type="dxa" w:w="3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pPr>
              <w:jc w:val="left"/>
            </w:pPr>
            <w:r>
              <w:rPr>
                <w:rFonts w:ascii="Calibri" w:cs="Calibri" w:eastAsia="Calibri" w:hAnsi="Calibri"/>
                <w:b/>
                <w:bCs/>
                <w:color w:val="FFFFFF"/>
                <w:sz w:val="17"/>
                <w:szCs w:val="17"/>
              </w:rPr>
              <w:t xml:space="preserve">Summary of Changes</w:t>
            </w:r>
          </w:p>
        </w:tc>
      </w:tr>
      <w:tr>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1.0</w:t>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03 Aug 2026</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Expert Clinical Trials</w:t>
            </w:r>
          </w:p>
        </w:tc>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Initial release — Clinical Trial Start-Up Toolkit, Component 1</w:t>
            </w:r>
          </w:p>
        </w:tc>
      </w:tr>
      <w:tr>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14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3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r>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14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c>
          <w:tcPr>
            <w:tcW w:type="dxa" w:w="3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
            </w:r>
          </w:p>
        </w:tc>
      </w:tr>
    </w:tbl>
    <w:sectPr>
      <w:headerReference w:type="default" r:id="rId9"/>
      <w:footerReference w:type="default" r:id="rId10"/>
      <w:pgSz w:w="11906" w:h="16838" w:orient="portrait"/>
      <w:pgMar w:top="1000" w:right="900" w:bottom="100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CE3" w:sz="4" w:space="4"/>
      </w:pBdr>
      <w:tabs>
        <w:tab w:val="right" w:pos="9026"/>
      </w:tabs>
    </w:pPr>
    <w:r>
      <w:rPr>
        <w:rFonts w:ascii="Calibri" w:cs="Calibri" w:eastAsia="Calibri" w:hAnsi="Calibri"/>
        <w:color w:val="6B6B6B"/>
        <w:sz w:val="15"/>
        <w:szCs w:val="15"/>
      </w:rPr>
      <w:t xml:space="preserve">© Expert Clinical Trials — expertclinicaltrials.com — Licensed for internal use only</w:t>
    </w:r>
    <w:r>
      <w:rPr>
        <w:rFonts w:ascii="Calibri" w:cs="Calibri" w:eastAsia="Calibri" w:hAnsi="Calibri"/>
        <w:color w:val="6B6B6B"/>
        <w:sz w:val="15"/>
        <w:szCs w:val="15"/>
      </w:rPr>
      <w:t xml:space="preserve">	Page </w:t>
    </w:r>
    <w:r>
      <w:rPr>
        <w:rFonts w:ascii="Calibri" w:cs="Calibri" w:eastAsia="Calibri" w:hAnsi="Calibri"/>
        <w:color w:val="6B6B6B"/>
        <w:sz w:val="15"/>
        <w:szCs w:val="15"/>
      </w:rPr>
      <w:fldChar w:fldCharType="begin"/>
      <w:instrText xml:space="preserve">PAGE</w:instrText>
      <w:fldChar w:fldCharType="separate"/>
      <w:fldChar w:fldCharType="end"/>
    </w:r>
    <w:r>
      <w:rPr>
        <w:rFonts w:ascii="Calibri" w:cs="Calibri" w:eastAsia="Calibri" w:hAnsi="Calibri"/>
        <w:color w:val="6B6B6B"/>
        <w:sz w:val="15"/>
        <w:szCs w:val="15"/>
      </w:rPr>
      <w:t xml:space="preserve"> of </w:t>
    </w:r>
    <w:r>
      <w:rPr>
        <w:rFonts w:ascii="Calibri" w:cs="Calibri" w:eastAsia="Calibri" w:hAnsi="Calibri"/>
        <w:color w:val="6B6B6B"/>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DCE3" w:sz="4" w:space="4"/>
      </w:pBdr>
      <w:tabs>
        <w:tab w:val="right" w:pos="9026"/>
      </w:tabs>
      <w:spacing w:after="40"/>
    </w:pPr>
    <w:r>
      <w:drawing>
        <wp:inline distT="0" distB="0" distL="0" distR="0">
          <wp:extent cx="152400" cy="152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152400" cy="152400"/>
                  </a:xfrm>
                  <a:prstGeom prst="rect">
                    <a:avLst/>
                  </a:prstGeom>
                </pic:spPr>
              </pic:pic>
            </a:graphicData>
          </a:graphic>
        </wp:inline>
      </w:drawing>
    </w:r>
    <w:r>
      <w:rPr>
        <w:rFonts w:ascii="Calibri" w:cs="Calibri" w:eastAsia="Calibri" w:hAnsi="Calibri"/>
        <w:b/>
        <w:bCs/>
        <w:color w:val="0B1F45"/>
        <w:sz w:val="16"/>
        <w:szCs w:val="16"/>
      </w:rPr>
      <w:t xml:space="preserve">  Clinical Trial Start-Up Toolkit</w:t>
    </w:r>
    <w:r>
      <w:rPr>
        <w:rFonts w:ascii="Calibri" w:cs="Calibri" w:eastAsia="Calibri" w:hAnsi="Calibri"/>
        <w:color w:val="6B6B6B"/>
        <w:sz w:val="16"/>
        <w:szCs w:val="16"/>
      </w:rPr>
      <w:t xml:space="preserve">	Study Start-Up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A3A3A"/>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image" Target="media/371fdfb75e5df52fb846262b8af26617b5a28a51.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Relationship Id="rId0" Type="http://schemas.openxmlformats.org/officeDocument/2006/relationships/image" Target="media/38b3cc415ffebf84d2bd91bfeb69b6a9ce335040.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2026-08-03T11:35:57.971Z</dcterms:created>
  <dcterms:modified xsi:type="dcterms:W3CDTF">2026-08-03T11:35:57.971Z</dcterms:modified>
</cp:coreProperties>
</file>

<file path=docProps/custom.xml><?xml version="1.0" encoding="utf-8"?>
<Properties xmlns="http://schemas.openxmlformats.org/officeDocument/2006/custom-properties" xmlns:vt="http://schemas.openxmlformats.org/officeDocument/2006/docPropsVTypes"/>
</file>